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line="240" w:lineRule="auto"/>
      </w:pPr>
      <w:r>
        <w:drawing>
          <wp:inline distT="0" distB="0" distL="0" distR="0">
            <wp:extent cx="381000" cy="381000"/>
            <wp:effectExtent t="0" r="0" b="0" l="0"/>
            <wp:docPr id="1" name="ELA icon" descr="ELA app icon" title="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 cy="381000"/>
                    </a:xfrm>
                    <a:prstGeom prst="rect">
                      <a:avLst/>
                    </a:prstGeom>
                  </pic:spPr>
                </pic:pic>
              </a:graphicData>
            </a:graphic>
          </wp:inline>
        </w:drawing>
      </w:r>
    </w:p>
    <w:p>
      <w:pPr>
        <w:spacing w:after="60" w:line="240" w:lineRule="auto"/>
      </w:pPr>
      <w:r>
        <w:rPr>
          <w:rFonts w:ascii="Bricolage Grotesque SemiBold" w:cs="Bricolage Grotesque SemiBold" w:eastAsia="Bricolage Grotesque SemiBold" w:hAnsi="Bricolage Grotesque SemiBold"/>
          <w:color w:val="13261D"/>
          <w:sz w:val="50"/>
          <w:szCs w:val="50"/>
        </w:rPr>
        <w:t xml:space="preserve">ELA business plan</w:t>
      </w:r>
    </w:p>
    <w:p>
      <w:pPr>
        <w:pBdr>
          <w:bottom w:val="single" w:color="0E8F5C" w:sz="12" w:space="10"/>
        </w:pBdr>
        <w:spacing w:after="80"/>
      </w:pPr>
      <w:commentRangeStart w:id="0"/>
      <w:r>
        <w:rPr>
          <w:rFonts w:ascii="Instrument Sans" w:cs="Instrument Sans" w:eastAsia="Instrument Sans" w:hAnsi="Instrument Sans"/>
          <w:color w:val="4A5E53"/>
          <w:sz w:val="21"/>
          <w:szCs w:val="21"/>
        </w:rPr>
        <w:t xml:space="preserve">Emergency Legal Assistance</w:t>
      </w:r>
      <w:commentRangeEnd w:id="0"/>
      <w:r>
        <w:commentReference w:id="0"/>
      </w:r>
      <w:r>
        <w:rPr>
          <w:rFonts w:ascii="Instrument Sans" w:cs="Instrument Sans" w:eastAsia="Instrument Sans" w:hAnsi="Instrument Sans"/>
          <w:color w:val="4A5E53"/>
          <w:sz w:val="21"/>
          <w:szCs w:val="21"/>
        </w:rPr>
        <w:t xml:space="preserve">  ·  Draft for review, 2 October 2026  ·  Confidential</w:t>
      </w:r>
    </w:p>
    <w:p>
      <w:pPr>
        <w:spacing w:after="80" w:before="0" w:line="120" w:lineRule="auto"/>
      </w:pP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1</w:t>
      </w:r>
      <w:r>
        <w:rPr>
          <w:rFonts w:ascii="Bricolage Grotesque SemiBold" w:cs="Bricolage Grotesque SemiBold" w:eastAsia="Bricolage Grotesque SemiBold" w:hAnsi="Bricolage Grotesque SemiBold"/>
          <w:color w:val="13261D"/>
          <w:sz w:val="30"/>
          <w:szCs w:val="30"/>
        </w:rPr>
        <w:t xml:space="preserve">   Executive summary</w:t>
      </w:r>
    </w:p>
    <w:p>
      <w:pPr>
        <w:spacing w:after="100" w:before="0" w:line="250" w:lineRule="auto"/>
      </w:pPr>
      <w:commentRangeStart w:id="1"/>
      <w:r>
        <w:rPr>
          <w:rFonts w:ascii="Instrument Sans" w:cs="Instrument Sans" w:eastAsia="Instrument Sans" w:hAnsi="Instrument Sans"/>
          <w:color w:val="13261D"/>
          <w:sz w:val="20"/>
          <w:szCs w:val="20"/>
        </w:rPr>
        <w:t xml:space="preserve">The UAE runs on people who were not born here. They came to build careers and families. When one of them is arrested or detained, the first hour has a simple problem: no lawyer is coming, the consulate has not been told, and the family is waiting for a call.</w:t>
      </w:r>
      <w:commentRangeEnd w:id="1"/>
      <w:r>
        <w:commentReference w:id="1"/>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What ELA is.</w:t>
      </w:r>
      <w:r>
        <w:rPr>
          <w:rFonts w:ascii="Instrument Sans" w:cs="Instrument Sans" w:eastAsia="Instrument Sans" w:hAnsi="Instrument Sans"/>
          <w:color w:val="13261D"/>
          <w:sz w:val="20"/>
          <w:szCs w:val="20"/>
        </w:rPr>
        <w:t xml:space="preserve"> A membership for UAE residents: an iPhone and Android app with an Apple Watch companion.</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How it works.</w:t>
      </w:r>
      <w:r>
        <w:rPr>
          <w:rFonts w:ascii="Instrument Sans" w:cs="Instrument Sans" w:eastAsia="Instrument Sans" w:hAnsi="Instrument Sans"/>
          <w:color w:val="13261D"/>
          <w:sz w:val="20"/>
          <w:szCs w:val="20"/>
        </w:rPr>
        <w:t xml:space="preserve"> The member holds the emergency button for three seconds. Once the hold commits, the response runs on our servers: a vetted UAE law firm takes the case, the consulate is told, a trusted contact gets a private live link, and the member’s live location goes to our response team.</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Where we are.</w:t>
      </w:r>
      <w:r>
        <w:rPr>
          <w:rFonts w:ascii="Instrument Sans" w:cs="Instrument Sans" w:eastAsia="Instrument Sans" w:hAnsi="Instrument Sans"/>
          <w:color w:val="13261D"/>
          <w:sz w:val="20"/>
          <w:szCs w:val="20"/>
        </w:rPr>
        <w:t xml:space="preserve"> Working product on TestFlight, running end to end on our production servers in test mode. About 4-6 weeks of launch work remain.</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How we earn.</w:t>
      </w:r>
      <w:r>
        <w:rPr>
          <w:rFonts w:ascii="Instrument Sans" w:cs="Instrument Sans" w:eastAsia="Instrument Sans" w:hAnsi="Instrument Sans"/>
          <w:color w:val="13261D"/>
          <w:sz w:val="20"/>
          <w:szCs w:val="20"/>
        </w:rPr>
        <w:t xml:space="preserve"> One membership through the App Store, an optional legal-costs insurance add-on, and a referral commission on legal fees.</w:t>
      </w:r>
    </w:p>
    <w:p>
      <w:pPr>
        <w:pStyle w:val="ListParagraph"/>
        <w:keepLines/>
        <w:numPr>
          <w:ilvl w:val="0"/>
          <w:numId w:val="2"/>
        </w:numPr>
        <w:spacing w:after="160" w:before="0" w:line="245" w:lineRule="auto"/>
      </w:pPr>
      <w:r>
        <w:rPr>
          <w:rFonts w:ascii="Instrument Sans SemiBold" w:cs="Instrument Sans SemiBold" w:eastAsia="Instrument Sans SemiBold" w:hAnsi="Instrument Sans SemiBold"/>
          <w:color w:val="13261D"/>
          <w:sz w:val="20"/>
          <w:szCs w:val="20"/>
        </w:rPr>
        <w:t xml:space="preserve">The ask.</w:t>
      </w:r>
      <w:r>
        <w:rPr>
          <w:rFonts w:ascii="Instrument Sans" w:cs="Instrument Sans" w:eastAsia="Instrument Sans" w:hAnsi="Instrument Sans"/>
          <w:color w:val="13261D"/>
          <w:sz w:val="20"/>
          <w:szCs w:val="20"/>
        </w:rPr>
        <w:t xml:space="preserve"> AED 7M (about USD 1.9M): the year-one budget of AED 4.62M plus AED 2.38M contingency.</w:t>
      </w:r>
    </w:p>
    <w:tbl>
      <w:tblPr>
        <w:tblW w:type="dxa" w:w="941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30"/>
        <w:gridCol w:w="160"/>
        <w:gridCol w:w="3030"/>
        <w:gridCol w:w="160"/>
        <w:gridCol w:w="3030"/>
      </w:tblGrid>
      <w:tr>
        <w:trPr>
          <w:cantSplit/>
        </w:trPr>
        <w:tc>
          <w:tcPr>
            <w:tcW w:type="dxa" w:w="3030"/>
            <w:tcBorders>
              <w:top w:val="single" w:color="0E8F5C" w:sz="18"/>
              <w:left w:val="none" w:color="FFFFFF" w:sz="0"/>
              <w:bottom w:val="none" w:color="FFFFFF" w:sz="0"/>
              <w:right w:val="none" w:color="FFFFFF" w:sz="0"/>
            </w:tcBorders>
            <w:shd w:fill="F2F6F2" w:color="auto" w:val="clear"/>
            <w:tcMar>
              <w:top w:type="dxa" w:w="140"/>
              <w:left w:type="dxa" w:w="180"/>
              <w:bottom w:type="dxa" w:w="140"/>
              <w:right w:type="dxa" w:w="160"/>
            </w:tcMar>
          </w:tcPr>
          <w:p>
            <w:pPr>
              <w:spacing w:after="40" w:line="240" w:lineRule="auto"/>
            </w:pPr>
            <w:r>
              <w:rPr>
                <w:rFonts w:ascii="Bricolage Grotesque SemiBold" w:cs="Bricolage Grotesque SemiBold" w:eastAsia="Bricolage Grotesque SemiBold" w:hAnsi="Bricolage Grotesque SemiBold"/>
                <w:color w:val="0B7549"/>
                <w:sz w:val="40"/>
                <w:szCs w:val="40"/>
              </w:rPr>
              <w:t xml:space="preserve">3 seconds</w:t>
            </w:r>
          </w:p>
          <w:p>
            <w:pPr>
              <w:spacing w:after="0" w:line="235" w:lineRule="auto"/>
            </w:pPr>
            <w:r>
              <w:rPr>
                <w:rFonts w:ascii="Instrument Sans" w:cs="Instrument Sans" w:eastAsia="Instrument Sans" w:hAnsi="Instrument Sans"/>
                <w:color w:val="4A5E53"/>
                <w:sz w:val="17"/>
                <w:szCs w:val="17"/>
              </w:rPr>
              <w:t xml:space="preserve">One hold sends for a lawyer, the consulate and family.</w:t>
            </w:r>
          </w:p>
        </w:tc>
        <w:tc>
          <w:tcPr>
            <w:tcW w:type="dxa" w:w="160"/>
            <w:tcBorders>
              <w:top w:val="none" w:color="FFFFFF" w:sz="0"/>
              <w:left w:val="none" w:color="FFFFFF" w:sz="0"/>
              <w:bottom w:val="none" w:color="FFFFFF" w:sz="0"/>
              <w:right w:val="none" w:color="FFFFFF" w:sz="0"/>
            </w:tcBorders>
          </w:tcPr>
          <w:p/>
        </w:tc>
        <w:tc>
          <w:tcPr>
            <w:tcW w:type="dxa" w:w="3030"/>
            <w:tcBorders>
              <w:top w:val="single" w:color="0E8F5C" w:sz="18"/>
              <w:left w:val="none" w:color="FFFFFF" w:sz="0"/>
              <w:bottom w:val="none" w:color="FFFFFF" w:sz="0"/>
              <w:right w:val="none" w:color="FFFFFF" w:sz="0"/>
            </w:tcBorders>
            <w:shd w:fill="F2F6F2" w:color="auto" w:val="clear"/>
            <w:tcMar>
              <w:top w:type="dxa" w:w="140"/>
              <w:left w:type="dxa" w:w="180"/>
              <w:bottom w:type="dxa" w:w="140"/>
              <w:right w:type="dxa" w:w="160"/>
            </w:tcMar>
          </w:tcPr>
          <w:p>
            <w:pPr>
              <w:spacing w:after="40" w:line="240" w:lineRule="auto"/>
            </w:pPr>
            <w:r>
              <w:rPr>
                <w:rFonts w:ascii="Bricolage Grotesque SemiBold" w:cs="Bricolage Grotesque SemiBold" w:eastAsia="Bricolage Grotesque SemiBold" w:hAnsi="Bricolage Grotesque SemiBold"/>
                <w:color w:val="0B7549"/>
                <w:sz w:val="40"/>
                <w:szCs w:val="40"/>
              </w:rPr>
              <w:t xml:space="preserve">4-6 weeks</w:t>
            </w:r>
          </w:p>
          <w:p>
            <w:pPr>
              <w:spacing w:after="0" w:line="235" w:lineRule="auto"/>
            </w:pPr>
            <w:r>
              <w:rPr>
                <w:rFonts w:ascii="Instrument Sans" w:cs="Instrument Sans" w:eastAsia="Instrument Sans" w:hAnsi="Instrument Sans"/>
                <w:color w:val="4A5E53"/>
                <w:sz w:val="17"/>
                <w:szCs w:val="17"/>
              </w:rPr>
              <w:t xml:space="preserve">Launch work left, per the 22 September stock-take.</w:t>
            </w:r>
          </w:p>
        </w:tc>
        <w:tc>
          <w:tcPr>
            <w:tcW w:type="dxa" w:w="160"/>
            <w:tcBorders>
              <w:top w:val="none" w:color="FFFFFF" w:sz="0"/>
              <w:left w:val="none" w:color="FFFFFF" w:sz="0"/>
              <w:bottom w:val="none" w:color="FFFFFF" w:sz="0"/>
              <w:right w:val="none" w:color="FFFFFF" w:sz="0"/>
            </w:tcBorders>
          </w:tcPr>
          <w:p/>
        </w:tc>
        <w:tc>
          <w:tcPr>
            <w:tcW w:type="dxa" w:w="3030"/>
            <w:tcBorders>
              <w:top w:val="single" w:color="0E8F5C" w:sz="18"/>
              <w:left w:val="none" w:color="FFFFFF" w:sz="0"/>
              <w:bottom w:val="none" w:color="FFFFFF" w:sz="0"/>
              <w:right w:val="none" w:color="FFFFFF" w:sz="0"/>
            </w:tcBorders>
            <w:shd w:fill="F2F6F2" w:color="auto" w:val="clear"/>
            <w:tcMar>
              <w:top w:type="dxa" w:w="140"/>
              <w:left w:type="dxa" w:w="180"/>
              <w:bottom w:type="dxa" w:w="140"/>
              <w:right w:type="dxa" w:w="160"/>
            </w:tcMar>
          </w:tcPr>
          <w:p>
            <w:pPr>
              <w:spacing w:after="40" w:line="240" w:lineRule="auto"/>
            </w:pPr>
            <w:r>
              <w:rPr>
                <w:rFonts w:ascii="Bricolage Grotesque SemiBold" w:cs="Bricolage Grotesque SemiBold" w:eastAsia="Bricolage Grotesque SemiBold" w:hAnsi="Bricolage Grotesque SemiBold"/>
                <w:color w:val="0B7549"/>
                <w:sz w:val="40"/>
                <w:szCs w:val="40"/>
              </w:rPr>
              <w:t xml:space="preserve">AED 7M</w:t>
            </w:r>
          </w:p>
          <w:p>
            <w:pPr>
              <w:spacing w:after="0" w:line="235" w:lineRule="auto"/>
            </w:pPr>
            <w:r>
              <w:rPr>
                <w:rFonts w:ascii="Instrument Sans" w:cs="Instrument Sans" w:eastAsia="Instrument Sans" w:hAnsi="Instrument Sans"/>
                <w:color w:val="4A5E53"/>
                <w:sz w:val="17"/>
                <w:szCs w:val="17"/>
              </w:rPr>
              <w:t xml:space="preserve">The raise: one year of launch and operations, plus contingency.</w:t>
            </w:r>
          </w:p>
        </w:tc>
      </w:tr>
    </w:tbl>
    <w:p>
      <w:pPr>
        <w:pStyle w:val="Heading1"/>
        <w:keepNext/>
        <w:keepLines/>
      </w:pPr>
      <w:r>
        <w:rPr>
          <w:rFonts w:ascii="Bricolage Grotesque SemiBold" w:cs="Bricolage Grotesque SemiBold" w:eastAsia="Bricolage Grotesque SemiBold" w:hAnsi="Bricolage Grotesque SemiBold"/>
          <w:color w:val="0E8F5C"/>
          <w:sz w:val="30"/>
          <w:szCs w:val="30"/>
        </w:rPr>
        <w:t xml:space="preserve">2</w:t>
      </w:r>
      <w:r>
        <w:rPr>
          <w:rFonts w:ascii="Bricolage Grotesque SemiBold" w:cs="Bricolage Grotesque SemiBold" w:eastAsia="Bricolage Grotesque SemiBold" w:hAnsi="Bricolage Grotesque SemiBold"/>
          <w:color w:val="13261D"/>
          <w:sz w:val="30"/>
          <w:szCs w:val="30"/>
        </w:rPr>
        <w:t xml:space="preserve">   Where we are</w:t>
      </w:r>
    </w:p>
    <w:p>
      <w:pPr>
        <w:pStyle w:val="Heading2"/>
        <w:keepNext/>
      </w:pPr>
      <w:r>
        <w:rPr>
          <w:rFonts w:ascii="Instrument Sans SemiBold" w:cs="Instrument Sans SemiBold" w:eastAsia="Instrument Sans SemiBold" w:hAnsi="Instrument Sans SemiBold"/>
          <w:color w:val="13261D"/>
          <w:sz w:val="21"/>
          <w:szCs w:val="21"/>
        </w:rPr>
        <w:t xml:space="preserve">How the business got here</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500"/>
        <w:gridCol w:w="7912"/>
      </w:tblGrid>
      <w:tr>
        <w:trPr>
          <w:cantSplit/>
          <w:tblHeader/>
        </w:trPr>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Date</w:t>
            </w:r>
          </w:p>
        </w:tc>
        <w:tc>
          <w:tcPr>
            <w:tcW w:type="dxa" w:w="79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Milestone</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7 May 2026</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Build starts: product specification and first code.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12 June</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Production server live in London.</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29 July</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ela.now registered.</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31 July</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Business plan v3: pricing, three revenue lines, a year-one budget and the AED 7M raise.</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12-14 August</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Insurance add-on premium set at AED 3,000 per adult.</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22 August</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Membership moves to App Store subscriptions: AED 24.99 a week, 79.99 a month or 749.99 a year.</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20-22 September</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Proven end to end on production in test mode (TestFlight build 99): signup, App Store purchase, the emergency button, dispatch, live location and case close.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22 September</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Launch stock-take: about 4-6 weeks of launch work.</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26 September</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First Android test builds.</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30 September</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Launch film finished.</w:t>
            </w:r>
          </w:p>
        </w:tc>
      </w:tr>
    </w:tbl>
    <w:p>
      <w:pPr>
        <w:spacing w:after="120" w:before="0" w:line="120" w:lineRule="auto"/>
      </w:pPr>
    </w:p>
    <w:p>
      <w:pPr>
        <w:pStyle w:val="Heading2"/>
        <w:keepNext/>
      </w:pPr>
      <w:r>
        <w:rPr>
          <w:rFonts w:ascii="Instrument Sans SemiBold" w:cs="Instrument Sans SemiBold" w:eastAsia="Instrument Sans SemiBold" w:hAnsi="Instrument Sans SemiBold"/>
          <w:color w:val="13261D"/>
          <w:sz w:val="21"/>
          <w:szCs w:val="21"/>
        </w:rPr>
        <w:t xml:space="preserve">What works today</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An iPhone app with an Apple Watch companion and lock-screen live updates. The Android app is in testing and goes live at launch.</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Dispatch to a law firm, the consulate and a trusted contact, with live location. Messages are simulated until the messaging provider is live.</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An operations console for the response team, with case chat and voice notes to the member’s phone or watch.</w:t>
      </w:r>
    </w:p>
    <w:p>
      <w:pPr>
        <w:pStyle w:val="ListParagraph"/>
        <w:keepNext/>
        <w:keepLines/>
        <w:numPr>
          <w:ilvl w:val="0"/>
          <w:numId w:val="2"/>
        </w:numPr>
        <w:spacing w:after="60" w:before="0" w:line="245" w:lineRule="auto"/>
      </w:pPr>
      <w:r>
        <w:rPr>
          <w:rFonts w:ascii="Instrument Sans" w:cs="Instrument Sans" w:eastAsia="Instrument Sans" w:hAnsi="Instrument Sans"/>
          <w:color w:val="13261D"/>
          <w:sz w:val="20"/>
          <w:szCs w:val="20"/>
        </w:rPr>
        <w:t xml:space="preserve">App Store membership purchase (Apple’s test environment) and card payments (Stripe test mode).</w:t>
      </w:r>
    </w:p>
    <w:p>
      <w:pPr>
        <w:pStyle w:val="ListParagraph"/>
        <w:keepLines/>
        <w:numPr>
          <w:ilvl w:val="0"/>
          <w:numId w:val="2"/>
        </w:numPr>
        <w:spacing w:after="140" w:before="0" w:line="245" w:lineRule="auto"/>
      </w:pPr>
      <w:r>
        <w:rPr>
          <w:rFonts w:ascii="Instrument Sans" w:cs="Instrument Sans" w:eastAsia="Instrument Sans" w:hAnsi="Instrument Sans"/>
          <w:color w:val="13261D"/>
          <w:sz w:val="20"/>
          <w:szCs w:val="20"/>
        </w:rPr>
        <w:t xml:space="preserve">Production and staging servers, with health-checked releases and automatic rollback.</w:t>
      </w:r>
    </w:p>
    <w:p>
      <w:pPr>
        <w:pStyle w:val="Heading2"/>
        <w:keepNext/>
      </w:pPr>
      <w:r>
        <w:rPr>
          <w:rFonts w:ascii="Instrument Sans SemiBold" w:cs="Instrument Sans SemiBold" w:eastAsia="Instrument Sans SemiBold" w:hAnsi="Instrument Sans SemiBold"/>
          <w:color w:val="13261D"/>
          <w:sz w:val="21"/>
          <w:szCs w:val="21"/>
        </w:rPr>
        <w:t xml:space="preserve">Built, signed and still to do</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500"/>
        <w:gridCol w:w="3700"/>
        <w:gridCol w:w="4212"/>
      </w:tblGrid>
      <w:tr>
        <w:trPr>
          <w:cantSplit/>
          <w:tblHeader/>
        </w:trPr>
        <w:tc>
          <w:tcPr>
            <w:tcW w:type="dxa" w:w="15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Area</w:t>
            </w:r>
          </w:p>
        </w:tc>
        <w:tc>
          <w:tcPr>
            <w:tcW w:type="dxa" w:w="3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In place</w:t>
            </w:r>
          </w:p>
        </w:tc>
        <w:tc>
          <w:tcPr>
            <w:tcW w:type="dxa" w:w="42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Still to do</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Technology</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watch, dispatch server, operations console and payments, all working in test mode.</w:t>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Live messaging (Twilio), email, the location licence, monitoring and offsite backups, and 2-3 weeks of pre-launch fixes.</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Law firm</w:t>
            </w:r>
          </w:p>
        </w:tc>
        <w:tc>
          <w:tcPr>
            <w:tcW w:type="dxa" w:w="3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The plan: one vetted firm covering all seven emirates at launch.</w:t>
            </w:r>
          </w:p>
        </w:tc>
        <w:tc>
          <w:tcPr>
            <w:tcW w:type="dxa" w:w="42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The firm agreement is unsigned. </w:t>
            </w:r>
            <w:commentRangeStart w:id="2"/>
            <w:r>
              <w:rPr>
                <w:rFonts w:ascii="Instrument Sans" w:cs="Instrument Sans" w:eastAsia="Instrument Sans" w:hAnsi="Instrument Sans"/>
                <w:color w:val="13261D"/>
                <w:sz w:val="18"/>
                <w:szCs w:val="18"/>
              </w:rPr>
              <w:t xml:space="preserve">It is on the critical path.</w:t>
            </w:r>
            <w:commentRangeEnd w:id="2"/>
            <w:r>
              <w:commentReference w:id="2"/>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Insurance</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3"/>
            <w:r>
              <w:rPr>
                <w:rFonts w:ascii="Instrument Sans" w:cs="Instrument Sans" w:eastAsia="Instrument Sans" w:hAnsi="Instrument Sans"/>
                <w:color w:val="13261D"/>
                <w:sz w:val="18"/>
                <w:szCs w:val="18"/>
              </w:rPr>
              <w:t xml:space="preserve">Agreed in principle with Howden and AIG.</w:t>
            </w:r>
            <w:commentRangeEnd w:id="3"/>
            <w:r>
              <w:commentReference w:id="3"/>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Final commitment, which waits on the capacity provider’s sign-off; then the group policy, commission terms and written policy schedule.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Operations</w:t>
            </w:r>
          </w:p>
        </w:tc>
        <w:tc>
          <w:tcPr>
            <w:tcW w:type="dxa" w:w="3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Operations console. In test mode the COO is the operations contact.</w:t>
            </w:r>
          </w:p>
        </w:tc>
        <w:tc>
          <w:tcPr>
            <w:tcW w:type="dxa" w:w="42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24/7 response desk, planned as outsourced from soft launch.</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Company</w:t>
            </w:r>
          </w:p>
        </w:tc>
        <w:tc>
          <w:tcPr>
            <w:tcW w:type="dxa" w:w="3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Launch entity: Murrayfield Law. Apple developer account (individual).</w:t>
            </w:r>
          </w:p>
        </w:tc>
        <w:tc>
          <w:tcPr>
            <w:tcW w:type="dxa" w:w="42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4"/>
            <w:r>
              <w:rPr>
                <w:rFonts w:ascii="Instrument Sans" w:cs="Instrument Sans" w:eastAsia="Instrument Sans" w:hAnsi="Instrument Sans"/>
                <w:color w:val="13261D"/>
                <w:sz w:val="18"/>
                <w:szCs w:val="18"/>
              </w:rPr>
              <w:t xml:space="preserve">ELA’s own company later (Jon leads), the App Store organisation account and the App Store listing.</w:t>
            </w:r>
            <w:commentRangeEnd w:id="4"/>
            <w:r>
              <w:commentReference w:id="4"/>
            </w:r>
          </w:p>
        </w:tc>
      </w:tr>
    </w:tbl>
    <w:p>
      <w:pPr>
        <w:pStyle w:val="Heading1"/>
        <w:keepNext/>
        <w:keepLines/>
      </w:pPr>
      <w:r>
        <w:rPr>
          <w:rFonts w:ascii="Bricolage Grotesque SemiBold" w:cs="Bricolage Grotesque SemiBold" w:eastAsia="Bricolage Grotesque SemiBold" w:hAnsi="Bricolage Grotesque SemiBold"/>
          <w:color w:val="0E8F5C"/>
          <w:sz w:val="30"/>
          <w:szCs w:val="30"/>
        </w:rPr>
        <w:t xml:space="preserve">3</w:t>
      </w:r>
      <w:r>
        <w:rPr>
          <w:rFonts w:ascii="Bricolage Grotesque SemiBold" w:cs="Bricolage Grotesque SemiBold" w:eastAsia="Bricolage Grotesque SemiBold" w:hAnsi="Bricolage Grotesque SemiBold"/>
          <w:color w:val="13261D"/>
          <w:sz w:val="30"/>
          <w:szCs w:val="30"/>
        </w:rPr>
        <w:t xml:space="preserve">   Business model</w:t>
      </w:r>
    </w:p>
    <w:p>
      <w:pPr>
        <w:keepNext/>
        <w:spacing w:after="100" w:before="0" w:line="250" w:lineRule="auto"/>
      </w:pPr>
      <w:r>
        <w:rPr>
          <w:rFonts w:ascii="Instrument Sans" w:cs="Instrument Sans" w:eastAsia="Instrument Sans" w:hAnsi="Instrument Sans"/>
          <w:color w:val="13261D"/>
          <w:sz w:val="20"/>
          <w:szCs w:val="20"/>
        </w:rPr>
        <w:t xml:space="preserve">One membership that everyone joins. The emergency response is the same for every member; the insurance add-on changes who pays the legal fees, never what happens.</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50"/>
        <w:gridCol w:w="4400"/>
        <w:gridCol w:w="3262"/>
      </w:tblGrid>
      <w:tr>
        <w:trPr>
          <w:cantSplit/>
          <w:tblHeader/>
        </w:trPr>
        <w:tc>
          <w:tcPr>
            <w:tcW w:type="dxa" w:w="17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Revenue line</w:t>
            </w:r>
          </w:p>
        </w:tc>
        <w:tc>
          <w:tcPr>
            <w:tcW w:type="dxa" w:w="44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How it works</w:t>
            </w:r>
          </w:p>
        </w:tc>
        <w:tc>
          <w:tcPr>
            <w:tcW w:type="dxa" w:w="32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Price or rate</w:t>
            </w:r>
          </w:p>
        </w:tc>
      </w:tr>
      <w:tr>
        <w:trPr>
          <w:cantSplit/>
        </w:trPr>
        <w:tc>
          <w:tcPr>
            <w:tcW w:type="dxa" w:w="17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5"/>
            <w:r>
              <w:rPr>
                <w:rFonts w:ascii="Instrument Sans SemiBold" w:cs="Instrument Sans SemiBold" w:eastAsia="Instrument Sans SemiBold" w:hAnsi="Instrument Sans SemiBold"/>
                <w:color w:val="13261D"/>
                <w:sz w:val="18"/>
                <w:szCs w:val="18"/>
              </w:rPr>
              <w:t xml:space="preserve">Membership</w:t>
            </w:r>
            <w:commentRangeEnd w:id="5"/>
            <w:r>
              <w:commentReference w:id="5"/>
            </w:r>
          </w:p>
        </w:tc>
        <w:tc>
          <w:tcPr>
            <w:tcW w:type="dxa" w:w="4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Every member joins through the App Store. Legal fees are agreed between the member and the law firm.</w:t>
            </w:r>
          </w:p>
        </w:tc>
        <w:tc>
          <w:tcPr>
            <w:tcW w:type="dxa" w:w="32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AED 24.99 a week, 79.99 a month or 749.99 a year</w:t>
            </w:r>
          </w:p>
        </w:tc>
      </w:tr>
      <w:tr>
        <w:trPr>
          <w:cantSplit/>
        </w:trPr>
        <w:tc>
          <w:tcPr>
            <w:tcW w:type="dxa" w:w="17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Insurance add-on</w:t>
            </w:r>
          </w:p>
        </w:tc>
        <w:tc>
          <w:tcPr>
            <w:tcW w:type="dxa" w:w="44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Optional legal-costs cover, agreed in principle with Howden and AIG, added after joining. Pays legal fees up to AED 100,000 and bail up to AED 50,000 per claim. ELA earns a commission.</w:t>
            </w:r>
          </w:p>
        </w:tc>
        <w:tc>
          <w:tcPr>
            <w:tcW w:type="dxa" w:w="32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6"/>
            <w:r>
              <w:rPr>
                <w:rFonts w:ascii="Instrument Sans" w:cs="Instrument Sans" w:eastAsia="Instrument Sans" w:hAnsi="Instrument Sans"/>
                <w:color w:val="13261D"/>
                <w:sz w:val="18"/>
                <w:szCs w:val="18"/>
              </w:rPr>
              <w:t xml:space="preserve">AED 3,000 per adult a year. ELA earns 10% of the premium.</w:t>
            </w:r>
            <w:commentRangeEnd w:id="6"/>
            <w:r>
              <w:commentReference w:id="6"/>
            </w:r>
          </w:p>
        </w:tc>
      </w:tr>
      <w:tr>
        <w:trPr>
          <w:cantSplit/>
        </w:trPr>
        <w:tc>
          <w:tcPr>
            <w:tcW w:type="dxa" w:w="17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7"/>
            <w:r>
              <w:rPr>
                <w:rFonts w:ascii="Instrument Sans SemiBold" w:cs="Instrument Sans SemiBold" w:eastAsia="Instrument Sans SemiBold" w:hAnsi="Instrument Sans SemiBold"/>
                <w:color w:val="13261D"/>
                <w:sz w:val="18"/>
                <w:szCs w:val="18"/>
              </w:rPr>
              <w:t xml:space="preserve">Legal referral</w:t>
            </w:r>
            <w:commentRangeEnd w:id="7"/>
            <w:r>
              <w:commentReference w:id="7"/>
            </w:r>
          </w:p>
        </w:tc>
        <w:tc>
          <w:tcPr>
            <w:tcW w:type="dxa" w:w="4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The law firm pays ELA a commission on legal fees from the cases ELA sends it.</w:t>
            </w:r>
          </w:p>
        </w:tc>
        <w:tc>
          <w:tcPr>
            <w:tcW w:type="dxa" w:w="32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10% of legal fees, subject to legal advice (section 8)</w:t>
            </w:r>
          </w:p>
        </w:tc>
      </w:tr>
    </w:tbl>
    <w:p>
      <w:pPr>
        <w:spacing w:after="120" w:before="0" w:line="120" w:lineRule="auto"/>
      </w:pPr>
    </w:p>
    <w:p>
      <w:pPr>
        <w:pStyle w:val="Heading2"/>
        <w:keepNext/>
      </w:pPr>
      <w:r>
        <w:rPr>
          <w:rFonts w:ascii="Instrument Sans SemiBold" w:cs="Instrument Sans SemiBold" w:eastAsia="Instrument Sans SemiBold" w:hAnsi="Instrument Sans SemiBold"/>
          <w:color w:val="13261D"/>
          <w:sz w:val="21"/>
          <w:szCs w:val="21"/>
        </w:rPr>
        <w:t xml:space="preserve">What a member is worth after VAT and Apple</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700"/>
        <w:gridCol w:w="1700"/>
        <w:gridCol w:w="1900"/>
        <w:gridCol w:w="2056"/>
        <w:gridCol w:w="2056"/>
      </w:tblGrid>
      <w:tr>
        <w:trPr>
          <w:cantSplit/>
          <w:tblHeader/>
        </w:trPr>
        <w:tc>
          <w:tcPr>
            <w:tcW w:type="dxa" w:w="1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Plan</w:t>
            </w:r>
          </w:p>
        </w:tc>
        <w:tc>
          <w:tcPr>
            <w:tcW w:type="dxa" w:w="17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Price (AED)</w:t>
            </w:r>
          </w:p>
        </w:tc>
        <w:tc>
          <w:tcPr>
            <w:tcW w:type="dxa" w:w="1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Gross a year</w:t>
            </w:r>
          </w:p>
        </w:tc>
        <w:tc>
          <w:tcPr>
            <w:tcW w:type="dxa" w:w="2056"/>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one, Apple 30%</w:t>
            </w:r>
          </w:p>
        </w:tc>
        <w:tc>
          <w:tcPr>
            <w:tcW w:type="dxa" w:w="2056"/>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two on, Apple 15%</w:t>
            </w:r>
          </w:p>
        </w:tc>
      </w:tr>
      <w:tr>
        <w:trPr>
          <w:cantSplit/>
        </w:trPr>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Weekly</w:t>
            </w:r>
          </w:p>
        </w:tc>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24.99</w:t>
            </w:r>
          </w:p>
        </w:tc>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1,304</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869</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1,056</w:t>
            </w:r>
          </w:p>
        </w:tc>
      </w:tr>
      <w:tr>
        <w:trPr>
          <w:cantSplit/>
        </w:trPr>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Monthly</w:t>
            </w:r>
          </w:p>
        </w:tc>
        <w:tc>
          <w:tcPr>
            <w:tcW w:type="dxa" w:w="17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79.99</w:t>
            </w:r>
          </w:p>
        </w:tc>
        <w:tc>
          <w:tcPr>
            <w:tcW w:type="dxa" w:w="1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960</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640</w:t>
            </w:r>
          </w:p>
        </w:tc>
        <w:tc>
          <w:tcPr>
            <w:tcW w:type="dxa" w:w="2056"/>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777</w:t>
            </w:r>
          </w:p>
        </w:tc>
      </w:tr>
      <w:tr>
        <w:trPr>
          <w:cantSplit/>
        </w:trPr>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Annual</w:t>
            </w:r>
          </w:p>
        </w:tc>
        <w:tc>
          <w:tcPr>
            <w:tcW w:type="dxa" w:w="17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749.99</w:t>
            </w:r>
          </w:p>
        </w:tc>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750</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w:t>
            </w:r>
          </w:p>
        </w:tc>
        <w:tc>
          <w:tcPr>
            <w:tcW w:type="dxa" w:w="2056"/>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607</w:t>
            </w:r>
          </w:p>
        </w:tc>
      </w:tr>
    </w:tbl>
    <w:p>
      <w:pPr>
        <w:spacing w:after="120" w:before="60" w:line="250" w:lineRule="auto"/>
      </w:pPr>
      <w:r>
        <w:rPr>
          <w:rFonts w:ascii="Instrument Sans" w:cs="Instrument Sans" w:eastAsia="Instrument Sans" w:hAnsi="Instrument Sans"/>
          <w:color w:val="4A5E53"/>
          <w:sz w:val="16"/>
          <w:szCs w:val="16"/>
        </w:rPr>
        <w:t xml:space="preserve">Net per member per year in AED, after 5% UAE VAT and Apple’s commission. </w:t>
      </w:r>
      <w:commentRangeStart w:id="8"/>
      <w:r>
        <w:rPr>
          <w:rFonts w:ascii="Instrument Sans" w:cs="Instrument Sans" w:eastAsia="Instrument Sans" w:hAnsi="Instrument Sans"/>
          <w:color w:val="4A5E53"/>
          <w:sz w:val="16"/>
          <w:szCs w:val="16"/>
        </w:rPr>
        <w:t xml:space="preserve">Apple keeps 30% of a member’s first year and 15% from their second year. Its Small Business Program charges 15% from day one, but only while our App Store proceeds stay under USD 1 million a year.</w:t>
      </w:r>
      <w:commentRangeEnd w:id="8"/>
      <w:r>
        <w:commentReference w:id="8"/>
      </w:r>
      <w:r>
        <w:rPr>
          <w:rFonts w:ascii="Instrument Sans" w:cs="Instrument Sans" w:eastAsia="Instrument Sans" w:hAnsi="Instrument Sans"/>
          <w:color w:val="4A5E53"/>
          <w:sz w:val="16"/>
          <w:szCs w:val="16"/>
        </w:rPr>
        <w:t xml:space="preserve"> Company seats sold by contract skip Apple.</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4</w:t>
      </w:r>
      <w:r>
        <w:rPr>
          <w:rFonts w:ascii="Bricolage Grotesque SemiBold" w:cs="Bricolage Grotesque SemiBold" w:eastAsia="Bricolage Grotesque SemiBold" w:hAnsi="Bricolage Grotesque SemiBold"/>
          <w:color w:val="13261D"/>
          <w:sz w:val="30"/>
          <w:szCs w:val="30"/>
        </w:rPr>
        <w:t xml:space="preserve">   Routes to market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850"/>
        <w:gridCol w:w="4300"/>
        <w:gridCol w:w="1300"/>
        <w:gridCol w:w="1962"/>
      </w:tblGrid>
      <w:tr>
        <w:trPr>
          <w:cantSplit/>
          <w:tblHeader/>
        </w:trPr>
        <w:tc>
          <w:tcPr>
            <w:tcW w:type="dxa" w:w="18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Channel</w:t>
            </w:r>
          </w:p>
        </w:tc>
        <w:tc>
          <w:tcPr>
            <w:tcW w:type="dxa" w:w="43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How we reach them</w:t>
            </w:r>
          </w:p>
        </w:tc>
        <w:tc>
          <w:tcPr>
            <w:tcW w:type="dxa" w:w="13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Year one (model)</w:t>
            </w:r>
          </w:p>
        </w:tc>
        <w:tc>
          <w:tcPr>
            <w:tcW w:type="dxa" w:w="19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When</w:t>
            </w:r>
          </w:p>
        </w:tc>
      </w:tr>
      <w:tr>
        <w:trPr>
          <w:cantSplit/>
        </w:trPr>
        <w:tc>
          <w:tcPr>
            <w:tcW w:type="dxa" w:w="18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Individuals</w:t>
            </w:r>
          </w:p>
        </w:tc>
        <w:tc>
          <w:tcPr>
            <w:tcW w:type="dxa" w:w="4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Social media campaign and legal content creators.</w:t>
            </w:r>
          </w:p>
        </w:tc>
        <w:tc>
          <w:tcPr>
            <w:tcW w:type="dxa" w:w="1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200,000</w:t>
            </w:r>
          </w:p>
        </w:tc>
        <w:tc>
          <w:tcPr>
            <w:tcW w:type="dxa" w:w="19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At launch</w:t>
            </w:r>
          </w:p>
        </w:tc>
      </w:tr>
      <w:tr>
        <w:trPr>
          <w:cantSplit/>
        </w:trPr>
        <w:tc>
          <w:tcPr>
            <w:tcW w:type="dxa" w:w="18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Corporates</w:t>
            </w:r>
          </w:p>
        </w:tc>
        <w:tc>
          <w:tcPr>
            <w:tcW w:type="dxa" w:w="4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9"/>
            <w:r>
              <w:rPr>
                <w:rFonts w:ascii="Instrument Sans" w:cs="Instrument Sans" w:eastAsia="Instrument Sans" w:hAnsi="Instrument Sans"/>
                <w:color w:val="13261D"/>
                <w:sz w:val="18"/>
                <w:szCs w:val="18"/>
              </w:rPr>
              <w:t xml:space="preserve">Direct approach, employer-paid seats. Targets include Accenture, Citibank, Deloitte, PwC, EY, KPMG, HSBC, Siemens and Microsoft.</w:t>
            </w:r>
            <w:commentRangeEnd w:id="9"/>
            <w:r>
              <w:commentReference w:id="9"/>
            </w:r>
          </w:p>
        </w:tc>
        <w:tc>
          <w:tcPr>
            <w:tcW w:type="dxa" w:w="1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50,000</w:t>
            </w:r>
          </w:p>
        </w:tc>
        <w:tc>
          <w:tcPr>
            <w:tcW w:type="dxa" w:w="19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After the company-seat build</w:t>
            </w:r>
          </w:p>
        </w:tc>
      </w:tr>
      <w:tr>
        <w:trPr>
          <w:cantSplit/>
        </w:trPr>
        <w:tc>
          <w:tcPr>
            <w:tcW w:type="dxa" w:w="18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SMEs</w:t>
            </w:r>
          </w:p>
        </w:tc>
        <w:tc>
          <w:tcPr>
            <w:tcW w:type="dxa" w:w="4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Direct, plus co-selling with law firms and insurers.</w:t>
            </w:r>
          </w:p>
        </w:tc>
        <w:tc>
          <w:tcPr>
            <w:tcW w:type="dxa" w:w="13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25,000</w:t>
            </w:r>
          </w:p>
        </w:tc>
        <w:tc>
          <w:tcPr>
            <w:tcW w:type="dxa" w:w="19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After the company-seat build</w:t>
            </w:r>
          </w:p>
        </w:tc>
      </w:tr>
      <w:tr>
        <w:trPr>
          <w:cantSplit/>
        </w:trPr>
        <w:tc>
          <w:tcPr>
            <w:tcW w:type="dxa" w:w="18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Embassies and consulates</w:t>
            </w:r>
          </w:p>
        </w:tc>
        <w:tc>
          <w:tcPr>
            <w:tcW w:type="dxa" w:w="4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Direct approach. Every dispatch notifies the member’s consulate.</w:t>
            </w:r>
          </w:p>
        </w:tc>
        <w:tc>
          <w:tcPr>
            <w:tcW w:type="dxa" w:w="13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5,000</w:t>
            </w:r>
          </w:p>
        </w:tc>
        <w:tc>
          <w:tcPr>
            <w:tcW w:type="dxa" w:w="19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After launch</w:t>
            </w:r>
          </w:p>
        </w:tc>
      </w:tr>
    </w:tbl>
    <w:p>
      <w:pPr>
        <w:spacing w:after="120" w:before="60" w:line="250" w:lineRule="auto"/>
      </w:pPr>
      <w:r>
        <w:rPr>
          <w:rFonts w:ascii="Instrument Sans" w:cs="Instrument Sans" w:eastAsia="Instrument Sans" w:hAnsi="Instrument Sans"/>
          <w:color w:val="4A5E53"/>
          <w:sz w:val="16"/>
          <w:szCs w:val="16"/>
        </w:rPr>
        <w:t xml:space="preserve">Year-one figures are the company’s July 2026 model for the base case: 280,000 of the 300,000 members, with the rest unallocated. Named organisations are targets; no agreements are signed.</w:t>
      </w:r>
    </w:p>
    <w:p>
      <w:pPr>
        <w:pStyle w:val="Heading2"/>
        <w:keepNext/>
      </w:pPr>
      <w:r>
        <w:rPr>
          <w:rFonts w:ascii="Instrument Sans SemiBold" w:cs="Instrument Sans SemiBold" w:eastAsia="Instrument Sans SemiBold" w:hAnsi="Instrument Sans SemiBold"/>
          <w:color w:val="13261D"/>
          <w:sz w:val="21"/>
          <w:szCs w:val="21"/>
        </w:rPr>
        <w:t xml:space="preserve">Partner channels next</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Employee-wellbeing providers:</w:t>
      </w:r>
      <w:r>
        <w:rPr>
          <w:rFonts w:ascii="Instrument Sans" w:cs="Instrument Sans" w:eastAsia="Instrument Sans" w:hAnsi="Instrument Sans"/>
          <w:color w:val="13261D"/>
          <w:sz w:val="20"/>
          <w:szCs w:val="20"/>
        </w:rPr>
        <w:t xml:space="preserve"> ELA inside their crisis support for employers. First target: Lyra Health MENA.</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Legal content creators:</w:t>
      </w:r>
      <w:r>
        <w:rPr>
          <w:rFonts w:ascii="Instrument Sans" w:cs="Instrument Sans" w:eastAsia="Instrument Sans" w:hAnsi="Instrument Sans"/>
          <w:color w:val="13261D"/>
          <w:sz w:val="20"/>
          <w:szCs w:val="20"/>
        </w:rPr>
        <w:t xml:space="preserve"> UAE lawyers with large social audiences. </w:t>
      </w:r>
      <w:commentRangeStart w:id="10"/>
      <w:r>
        <w:rPr>
          <w:rFonts w:ascii="Instrument Sans" w:cs="Instrument Sans" w:eastAsia="Instrument Sans" w:hAnsi="Instrument Sans"/>
          <w:color w:val="13261D"/>
          <w:sz w:val="20"/>
          <w:szCs w:val="20"/>
        </w:rPr>
        <w:t xml:space="preserve">Ahmed Odeh (@lawbyodeh), the first one we looked at, has a conflict: Legal Cover’s terms name his firm, MIO &amp; Partners, as a partner firm, and he promoted Legal Cover in 2025.</w:t>
      </w:r>
      <w:commentRangeEnd w:id="10"/>
      <w:r>
        <w:commentReference w:id="10"/>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Travel insurers, premium bank cards and residency advisers:</w:t>
      </w:r>
      <w:r>
        <w:rPr>
          <w:rFonts w:ascii="Instrument Sans" w:cs="Instrument Sans" w:eastAsia="Instrument Sans" w:hAnsi="Instrument Sans"/>
          <w:color w:val="13261D"/>
          <w:sz w:val="20"/>
          <w:szCs w:val="20"/>
        </w:rPr>
        <w:t xml:space="preserve"> ELA bundled with their cover.</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D&amp;O insurers:</w:t>
      </w:r>
      <w:r>
        <w:rPr>
          <w:rFonts w:ascii="Instrument Sans" w:cs="Instrument Sans" w:eastAsia="Instrument Sans" w:hAnsi="Instrument Sans"/>
          <w:color w:val="13261D"/>
          <w:sz w:val="20"/>
          <w:szCs w:val="20"/>
        </w:rPr>
        <w:t xml:space="preserve"> ELA offered alongside directors’ and officers’ policies.</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5</w:t>
      </w:r>
      <w:r>
        <w:rPr>
          <w:rFonts w:ascii="Bricolage Grotesque SemiBold" w:cs="Bricolage Grotesque SemiBold" w:eastAsia="Bricolage Grotesque SemiBold" w:hAnsi="Bricolage Grotesque SemiBold"/>
          <w:color w:val="13261D"/>
          <w:sz w:val="30"/>
          <w:szCs w:val="30"/>
        </w:rPr>
        <w:t xml:space="preserve">   Financials</w:t>
      </w:r>
    </w:p>
    <w:p>
      <w:pPr>
        <w:keepNext/>
        <w:spacing w:after="100" w:before="0" w:line="250" w:lineRule="auto"/>
      </w:pPr>
      <w:commentRangeStart w:id="11"/>
      <w:r>
        <w:rPr>
          <w:rFonts w:ascii="Instrument Sans" w:cs="Instrument Sans" w:eastAsia="Instrument Sans" w:hAnsi="Instrument Sans"/>
          <w:color w:val="13261D"/>
          <w:sz w:val="20"/>
          <w:szCs w:val="20"/>
        </w:rPr>
        <w:t xml:space="preserve">Three year-one cases from the company’s July 2026 model. These are our own assumptions, not a forecast.</w:t>
      </w:r>
      <w:commentRangeEnd w:id="11"/>
      <w:r>
        <w:commentReference w:id="11"/>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412"/>
        <w:gridCol w:w="2000"/>
        <w:gridCol w:w="2000"/>
        <w:gridCol w:w="2000"/>
      </w:tblGrid>
      <w:tr>
        <w:trPr>
          <w:cantSplit/>
          <w:tblHeader/>
        </w:trPr>
        <w:tc>
          <w:tcPr>
            <w:tcW w:type="dxa" w:w="3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Year one</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Low</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Base</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4A5E53"/>
                <w:sz w:val="16"/>
                <w:szCs w:val="16"/>
              </w:rPr>
              <w:t xml:space="preserve">High</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2"/>
            <w:r>
              <w:rPr>
                <w:rFonts w:ascii="Instrument Sans" w:cs="Instrument Sans" w:eastAsia="Instrument Sans" w:hAnsi="Instrument Sans"/>
                <w:color w:val="13261D"/>
                <w:sz w:val="18"/>
                <w:szCs w:val="18"/>
              </w:rPr>
              <w:t xml:space="preserve">Members</w:t>
            </w:r>
            <w:commentRangeEnd w:id="12"/>
            <w:r>
              <w:commentReference w:id="12"/>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100,000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300,000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500,000</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AED million</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Membership, AED 500 each</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50.0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150.0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250.0</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Insurance commission</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15.0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45.0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75.0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3"/>
            <w:r>
              <w:rPr>
                <w:rFonts w:ascii="Instrument Sans" w:cs="Instrument Sans" w:eastAsia="Instrument Sans" w:hAnsi="Instrument Sans"/>
                <w:color w:val="13261D"/>
                <w:sz w:val="18"/>
                <w:szCs w:val="18"/>
              </w:rPr>
              <w:t xml:space="preserve">Legal referral commission</w:t>
            </w:r>
            <w:commentRangeEnd w:id="13"/>
            <w:r>
              <w:commentReference w:id="13"/>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5.0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15.0</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25.0</w:t>
            </w:r>
          </w:p>
        </w:tc>
      </w:tr>
      <w:tr>
        <w:trPr>
          <w:cantSplit/>
        </w:trPr>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Total revenue</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70.0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210.0</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350.0</w:t>
            </w:r>
          </w:p>
        </w:tc>
      </w:tr>
      <w:tr>
        <w:trPr>
          <w:cantSplit/>
        </w:trPr>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commentRangeStart w:id="14"/>
            <w:r>
              <w:rPr>
                <w:rFonts w:ascii="Instrument Sans" w:cs="Instrument Sans" w:eastAsia="Instrument Sans" w:hAnsi="Instrument Sans"/>
                <w:color w:val="13261D"/>
                <w:sz w:val="18"/>
                <w:szCs w:val="18"/>
              </w:rPr>
              <w:t xml:space="preserve">Year-one costs</w:t>
            </w:r>
            <w:commentRangeEnd w:id="14"/>
            <w:r>
              <w:commentReference w:id="14"/>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4.6</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4.6</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jc w:val="right"/>
            </w:pPr>
            <w:r>
              <w:rPr>
                <w:rFonts w:ascii="Instrument Sans" w:cs="Instrument Sans" w:eastAsia="Instrument Sans" w:hAnsi="Instrument Sans"/>
                <w:color w:val="13261D"/>
                <w:sz w:val="18"/>
                <w:szCs w:val="18"/>
              </w:rPr>
              <w:t xml:space="preserve">4.6</w:t>
            </w:r>
          </w:p>
        </w:tc>
      </w:tr>
      <w:tr>
        <w:trPr>
          <w:cantSplit/>
        </w:trPr>
        <w:tc>
          <w:tcPr>
            <w:tcW w:type="dxa" w:w="3412"/>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Result before tax</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65.4</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205.4</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val="false"/>
              <w:spacing w:after="0" w:before="0" w:line="235" w:lineRule="auto"/>
              <w:jc w:val="right"/>
            </w:pPr>
            <w:r>
              <w:rPr>
                <w:rFonts w:ascii="Instrument Sans SemiBold" w:cs="Instrument Sans SemiBold" w:eastAsia="Instrument Sans SemiBold" w:hAnsi="Instrument Sans SemiBold"/>
                <w:color w:val="13261D"/>
                <w:sz w:val="18"/>
                <w:szCs w:val="18"/>
              </w:rPr>
              <w:t xml:space="preserve">345.4</w:t>
            </w:r>
          </w:p>
        </w:tc>
      </w:tr>
    </w:tbl>
    <w:p>
      <w:pPr>
        <w:spacing w:after="120" w:before="60" w:line="250" w:lineRule="auto"/>
      </w:pPr>
      <w:r>
        <w:rPr>
          <w:rFonts w:ascii="Instrument Sans" w:cs="Instrument Sans" w:eastAsia="Instrument Sans" w:hAnsi="Instrument Sans"/>
          <w:color w:val="4A5E53"/>
          <w:sz w:val="16"/>
          <w:szCs w:val="16"/>
        </w:rPr>
        <w:t xml:space="preserve">Membership counts every member at the annual price after VAT and Apple: weekly and monthly members pay more. Half of members take the insurance add-on, and ELA earns 10% of their AED 3,000 premiums. All figures exclude VAT.</w:t>
      </w:r>
    </w:p>
    <w:p>
      <w:pPr>
        <w:pStyle w:val="Heading2"/>
        <w:keepNext/>
      </w:pPr>
      <w:r>
        <w:rPr>
          <w:rFonts w:ascii="Instrument Sans SemiBold" w:cs="Instrument Sans SemiBold" w:eastAsia="Instrument Sans SemiBold" w:hAnsi="Instrument Sans SemiBold"/>
          <w:color w:val="13261D"/>
          <w:sz w:val="21"/>
          <w:szCs w:val="21"/>
        </w:rPr>
        <w:t xml:space="preserve">Year-one budget</w:t>
      </w:r>
    </w:p>
    <w:tbl>
      <w:tblPr>
        <w:tblW w:type="dxa" w:w="9411"/>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237"/>
        <w:gridCol w:w="900"/>
        <w:gridCol w:w="2237"/>
        <w:gridCol w:w="900"/>
        <w:gridCol w:w="2237"/>
        <w:gridCol w:w="900"/>
      </w:tblGrid>
      <w:tr>
        <w:trPr>
          <w:cantSplit/>
          <w:tblHeader/>
        </w:trPr>
        <w:tc>
          <w:tcPr>
            <w:tcW w:type="dxa" w:w="2237"/>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Technical</w:t>
            </w:r>
          </w:p>
        </w:tc>
        <w:tc>
          <w:tcPr>
            <w:tcW w:type="dxa" w:w="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2237"/>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Marketing</w:t>
            </w:r>
          </w:p>
        </w:tc>
        <w:tc>
          <w:tcPr>
            <w:tcW w:type="dxa" w:w="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c>
          <w:tcPr>
            <w:tcW w:type="dxa" w:w="2237"/>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Administration</w:t>
            </w:r>
          </w:p>
        </w:tc>
        <w:tc>
          <w:tcPr>
            <w:tcW w:type="dxa" w:w="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 k</w:t>
            </w:r>
          </w:p>
        </w:tc>
      </w:tr>
      <w:tr>
        <w:trPr>
          <w:cantSplit/>
        </w:trPr>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Server cloud services</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100</w:t>
            </w: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Helios AI Agency</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480</w:t>
            </w: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Personnel (accounts, tech, B2B)</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600</w:t>
            </w:r>
          </w:p>
        </w:tc>
      </w:tr>
      <w:tr>
        <w:trPr>
          <w:cantSplit/>
        </w:trPr>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15"/>
            <w:r>
              <w:rPr>
                <w:rFonts w:ascii="Instrument Sans" w:cs="Instrument Sans" w:eastAsia="Instrument Sans" w:hAnsi="Instrument Sans"/>
                <w:color w:val="13261D"/>
                <w:sz w:val="17"/>
                <w:szCs w:val="17"/>
              </w:rPr>
              <w:t xml:space="preserve">Outsourced call centre</w:t>
            </w:r>
            <w:commentRangeEnd w:id="15"/>
            <w:r>
              <w:commentReference w:id="15"/>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140</w:t>
            </w: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Social media ads</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480</w:t>
            </w: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Office</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500</w:t>
            </w:r>
          </w:p>
        </w:tc>
      </w:tr>
      <w:tr>
        <w:trPr>
          <w:cantSplit/>
        </w:trPr>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16"/>
            <w:r>
              <w:rPr>
                <w:rFonts w:ascii="Instrument Sans" w:cs="Instrument Sans" w:eastAsia="Instrument Sans" w:hAnsi="Instrument Sans"/>
                <w:color w:val="13261D"/>
                <w:sz w:val="17"/>
                <w:szCs w:val="17"/>
              </w:rPr>
              <w:t xml:space="preserve">Outsourced tech support</w:t>
            </w:r>
            <w:commentRangeEnd w:id="16"/>
            <w:r>
              <w:commentReference w:id="16"/>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600</w:t>
            </w: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Public relations</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480</w:t>
            </w: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D&amp;O and PI insurance</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100</w:t>
            </w:r>
          </w:p>
        </w:tc>
      </w:tr>
      <w:tr>
        <w:trPr>
          <w:cantSplit/>
        </w:trPr>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Equipment</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100</w:t>
            </w: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Contingency</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100</w:t>
            </w: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Board fees</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480</w:t>
            </w:r>
          </w:p>
        </w:tc>
      </w:tr>
      <w:tr>
        <w:trPr>
          <w:cantSplit/>
        </w:trPr>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Services and licences</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160</w:t>
            </w: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p>
        </w:tc>
        <w:tc>
          <w:tcPr>
            <w:tcW w:type="dxa" w:w="2237"/>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Contingency</w:t>
            </w:r>
          </w:p>
        </w:tc>
        <w:tc>
          <w:tcPr>
            <w:tcW w:type="dxa" w:w="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200</w:t>
            </w:r>
          </w:p>
        </w:tc>
      </w:tr>
      <w:tr>
        <w:trPr>
          <w:cantSplit/>
        </w:trPr>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7"/>
                <w:szCs w:val="17"/>
              </w:rPr>
              <w:t xml:space="preserve">Contingency</w:t>
            </w: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7"/>
                <w:szCs w:val="17"/>
              </w:rPr>
              <w:t xml:space="preserve">100</w:t>
            </w: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c>
          <w:tcPr>
            <w:tcW w:type="dxa" w:w="2237"/>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p>
        </w:tc>
        <w:tc>
          <w:tcPr>
            <w:tcW w:type="dxa" w:w="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p>
        </w:tc>
      </w:tr>
      <w:tr>
        <w:trPr>
          <w:cantSplit/>
        </w:trPr>
        <w:tc>
          <w:tcPr>
            <w:tcW w:type="dxa" w:w="2237"/>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Technical total</w:t>
            </w:r>
          </w:p>
        </w:tc>
        <w:tc>
          <w:tcPr>
            <w:tcW w:type="dxa" w:w="9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7"/>
                <w:szCs w:val="17"/>
              </w:rPr>
              <w:t xml:space="preserve">1,200</w:t>
            </w:r>
          </w:p>
        </w:tc>
        <w:tc>
          <w:tcPr>
            <w:tcW w:type="dxa" w:w="2237"/>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Marketing total</w:t>
            </w:r>
          </w:p>
        </w:tc>
        <w:tc>
          <w:tcPr>
            <w:tcW w:type="dxa" w:w="9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7"/>
                <w:szCs w:val="17"/>
              </w:rPr>
              <w:t xml:space="preserve">1,540</w:t>
            </w:r>
          </w:p>
        </w:tc>
        <w:tc>
          <w:tcPr>
            <w:tcW w:type="dxa" w:w="2237"/>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7"/>
                <w:szCs w:val="17"/>
              </w:rPr>
              <w:t xml:space="preserve">Administration total</w:t>
            </w:r>
          </w:p>
        </w:tc>
        <w:tc>
          <w:tcPr>
            <w:tcW w:type="dxa" w:w="9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7"/>
                <w:szCs w:val="17"/>
              </w:rPr>
              <w:t xml:space="preserve">1,880</w:t>
            </w:r>
          </w:p>
        </w:tc>
      </w:tr>
    </w:tbl>
    <w:p>
      <w:pPr>
        <w:spacing w:after="120" w:before="60" w:line="250" w:lineRule="auto"/>
      </w:pPr>
      <w:r>
        <w:rPr>
          <w:rFonts w:ascii="Instrument Sans" w:cs="Instrument Sans" w:eastAsia="Instrument Sans" w:hAnsi="Instrument Sans"/>
          <w:color w:val="4A5E53"/>
          <w:sz w:val="16"/>
          <w:szCs w:val="16"/>
        </w:rPr>
        <w:t xml:space="preserve">Total year-one costs: AED 4,620,000 (July 2026 plan). </w:t>
      </w:r>
      <w:commentRangeStart w:id="17"/>
      <w:r>
        <w:rPr>
          <w:rFonts w:ascii="Instrument Sans" w:cs="Instrument Sans" w:eastAsia="Instrument Sans" w:hAnsi="Instrument Sans"/>
          <w:color w:val="4A5E53"/>
          <w:sz w:val="16"/>
          <w:szCs w:val="16"/>
        </w:rPr>
        <w:t xml:space="preserve">The AED 600,000 for outsourced tech support pays for the delivery team in section 6 for 12 months, at Eastern European rates of about EUR 40,000 a year per full-time person.</w:t>
      </w:r>
      <w:commentRangeEnd w:id="17"/>
      <w:r>
        <w:commentReference w:id="17"/>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6</w:t>
      </w:r>
      <w:r>
        <w:rPr>
          <w:rFonts w:ascii="Bricolage Grotesque SemiBold" w:cs="Bricolage Grotesque SemiBold" w:eastAsia="Bricolage Grotesque SemiBold" w:hAnsi="Bricolage Grotesque SemiBold"/>
          <w:color w:val="13261D"/>
          <w:sz w:val="30"/>
          <w:szCs w:val="30"/>
        </w:rPr>
        <w:t xml:space="preserve">   Team</w:t>
      </w:r>
    </w:p>
    <w:tbl>
      <w:tblPr>
        <w:tblW w:type="dxa" w:w="76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00"/>
        <w:gridCol w:w="1800"/>
        <w:gridCol w:w="700"/>
        <w:gridCol w:w="3300"/>
      </w:tblGrid>
      <w:tr>
        <w:trPr>
          <w:cantSplit/>
        </w:trPr>
        <w:tc>
          <w:tcPr>
            <w:gridSpan w:val="2"/>
            <w:tcBorders>
              <w:top w:val="single" w:color="0E8F5C" w:sz="8"/>
              <w:left w:val="single" w:color="0E8F5C" w:sz="8"/>
              <w:bottom w:val="single" w:color="0E8F5C" w:sz="8"/>
              <w:right w:val="single" w:color="0E8F5C" w:sz="8"/>
            </w:tcBorders>
            <w:shd w:fill="FBFDFB" w:color="auto" w:val="clear"/>
            <w:tcMar>
              <w:top w:type="dxa" w:w="110"/>
              <w:left w:type="dxa" w:w="120"/>
              <w:bottom w:type="dxa" w:w="110"/>
              <w:right w:type="dxa" w:w="120"/>
            </w:tcMar>
            <w:vAlign w:val="center"/>
          </w:tcPr>
          <w:p>
            <w:pPr>
              <w:spacing w:after="20" w:line="235" w:lineRule="auto"/>
              <w:jc w:val="center"/>
            </w:pPr>
            <w:commentRangeStart w:id="18"/>
            <w:r>
              <w:rPr>
                <w:rFonts w:ascii="Instrument Sans SemiBold" w:cs="Instrument Sans SemiBold" w:eastAsia="Instrument Sans SemiBold" w:hAnsi="Instrument Sans SemiBold"/>
                <w:color w:val="13261D"/>
                <w:sz w:val="21"/>
                <w:szCs w:val="21"/>
              </w:rPr>
              <w:t xml:space="preserve">Jonathan Simpson</w:t>
            </w:r>
            <w:commentRangeEnd w:id="18"/>
            <w:r>
              <w:commentReference w:id="18"/>
            </w:r>
          </w:p>
          <w:p>
            <w:pPr>
              <w:spacing w:after="0" w:line="235" w:lineRule="auto"/>
              <w:jc w:val="center"/>
            </w:pPr>
            <w:r>
              <w:rPr>
                <w:rFonts w:ascii="Instrument Sans" w:cs="Instrument Sans" w:eastAsia="Instrument Sans" w:hAnsi="Instrument Sans"/>
                <w:color w:val="4A5E53"/>
                <w:sz w:val="17"/>
                <w:szCs w:val="17"/>
              </w:rPr>
              <w:t xml:space="preserve">Chief Executive Officer</w:t>
            </w:r>
          </w:p>
        </w:tc>
        <w:tc>
          <w:tcPr>
            <w:tcBorders>
              <w:top w:val="none" w:color="FFFFFF" w:sz="0"/>
              <w:left w:val="none" w:color="FFFFFF" w:sz="0"/>
              <w:bottom w:val="none" w:color="FFFFFF" w:sz="0"/>
              <w:right w:val="none" w:color="FFFFFF" w:sz="0"/>
            </w:tcBorders>
            <w:tcMar>
              <w:top w:type="dxa" w:w="110"/>
              <w:left w:type="dxa" w:w="120"/>
              <w:bottom w:type="dxa" w:w="110"/>
              <w:right w:type="dxa" w:w="120"/>
            </w:tcMar>
            <w:vAlign w:val="center"/>
          </w:tcPr>
          <w:p/>
        </w:tc>
        <w:tc>
          <w:tcPr>
            <w:vMerge w:val="restart"/>
            <w:tcBorders>
              <w:top w:val="single" w:color="D3DDD6" w:sz="6"/>
              <w:left w:val="single" w:color="D3DDD6" w:sz="6"/>
              <w:bottom w:val="single" w:color="D3DDD6" w:sz="6"/>
              <w:right w:val="single" w:color="D3DDD6" w:sz="6"/>
            </w:tcBorders>
            <w:shd w:fill="F2F6F2" w:color="auto" w:val="clear"/>
            <w:tcMar>
              <w:top w:type="dxa" w:w="140"/>
              <w:left w:type="dxa" w:w="220"/>
              <w:bottom w:type="dxa" w:w="140"/>
              <w:right w:type="dxa" w:w="160"/>
            </w:tcMar>
            <w:vAlign w:val="center"/>
          </w:tcPr>
          <w:p>
            <w:pPr>
              <w:spacing w:after="100"/>
            </w:pPr>
            <w:r>
              <w:rPr>
                <w:rFonts w:ascii="Instrument Sans SemiBold" w:cs="Instrument Sans SemiBold" w:eastAsia="Instrument Sans SemiBold" w:hAnsi="Instrument Sans SemiBold"/>
                <w:color w:val="0B7549"/>
                <w:sz w:val="18"/>
                <w:szCs w:val="18"/>
              </w:rPr>
              <w:t xml:space="preserve">Advisors</w:t>
            </w:r>
          </w:p>
          <w:p>
            <w:pPr>
              <w:spacing w:after="70" w:line="235" w:lineRule="auto"/>
            </w:pPr>
            <w:commentRangeStart w:id="19"/>
            <w:r>
              <w:rPr>
                <w:rFonts w:ascii="Instrument Sans SemiBold" w:cs="Instrument Sans SemiBold" w:eastAsia="Instrument Sans SemiBold" w:hAnsi="Instrument Sans SemiBold"/>
                <w:color w:val="13261D"/>
                <w:sz w:val="20"/>
                <w:szCs w:val="20"/>
              </w:rPr>
              <w:t xml:space="preserve">Shaz Khan</w:t>
            </w:r>
            <w:commentRangeEnd w:id="19"/>
            <w:r>
              <w:commentReference w:id="19"/>
            </w:r>
          </w:p>
          <w:p>
            <w:pPr>
              <w:spacing w:after="70" w:line="235" w:lineRule="auto"/>
            </w:pPr>
            <w:r>
              <w:rPr>
                <w:rFonts w:ascii="Instrument Sans SemiBold" w:cs="Instrument Sans SemiBold" w:eastAsia="Instrument Sans SemiBold" w:hAnsi="Instrument Sans SemiBold"/>
                <w:color w:val="13261D"/>
                <w:sz w:val="20"/>
                <w:szCs w:val="20"/>
              </w:rPr>
              <w:t xml:space="preserve">Andrew Trower</w:t>
            </w:r>
          </w:p>
          <w:p>
            <w:pPr>
              <w:spacing w:after="70" w:line="235" w:lineRule="auto"/>
            </w:pPr>
            <w:r>
              <w:rPr>
                <w:rFonts w:ascii="Instrument Sans SemiBold" w:cs="Instrument Sans SemiBold" w:eastAsia="Instrument Sans SemiBold" w:hAnsi="Instrument Sans SemiBold"/>
                <w:color w:val="13261D"/>
                <w:sz w:val="20"/>
                <w:szCs w:val="20"/>
              </w:rPr>
              <w:t xml:space="preserve">Anna</w:t>
            </w:r>
          </w:p>
        </w:tc>
      </w:tr>
      <w:tr>
        <w:trPr>
          <w:trHeight w:val="340" w:hRule="exact"/>
        </w:trPr>
        <w:tc>
          <w:tcPr>
            <w:tcBorders>
              <w:top w:val="none" w:color="FFFFFF" w:sz="0"/>
              <w:left w:val="none" w:color="FFFFFF" w:sz="0"/>
              <w:bottom w:val="none" w:color="FFFFFF" w:sz="0"/>
              <w:right w:val="single" w:color="AFC1B5" w:sz="8"/>
            </w:tcBorders>
            <w:tcMar>
              <w:top w:type="dxa" w:w="0"/>
              <w:left w:type="dxa" w:w="0"/>
              <w:bottom w:type="dxa" w:w="0"/>
              <w:right w:type="dxa" w:w="0"/>
            </w:tcMar>
            <w:vAlign w:val="center"/>
          </w:tcPr>
          <w:p/>
        </w:tc>
        <w:tc>
          <w:tcPr>
            <w:tcBorders>
              <w:top w:val="none" w:color="FFFFFF" w:sz="0"/>
              <w:left w:val="none" w:color="FFFFFF" w:sz="0"/>
              <w:bottom w:val="none" w:color="FFFFFF" w:sz="0"/>
              <w:right w:val="none" w:color="FFFFFF" w:sz="0"/>
            </w:tcBorders>
            <w:tcMar>
              <w:top w:type="dxa" w:w="0"/>
              <w:left w:type="dxa" w:w="0"/>
              <w:bottom w:type="dxa" w:w="0"/>
              <w:right w:type="dxa" w:w="0"/>
            </w:tcMar>
            <w:vAlign w:val="center"/>
          </w:tcPr>
          <w:p/>
        </w:tc>
        <w:tc>
          <w:tcPr>
            <w:tcBorders>
              <w:top w:val="none" w:color="FFFFFF" w:sz="0"/>
              <w:left w:val="none" w:color="FFFFFF" w:sz="0"/>
              <w:bottom w:val="none" w:color="FFFFFF" w:sz="0"/>
              <w:right w:val="none" w:color="FFFFFF" w:sz="0"/>
            </w:tcBorders>
            <w:tcMar>
              <w:top w:type="dxa" w:w="0"/>
              <w:left w:type="dxa" w:w="0"/>
              <w:bottom w:type="dxa" w:w="0"/>
              <w:right w:type="dxa" w:w="0"/>
            </w:tcMar>
            <w:vAlign w:val="center"/>
          </w:tcPr>
          <w:p/>
        </w:tc>
        <w:tc>
          <w:tcPr>
            <w:vMerge w:val="continue"/>
            <w:tcBorders>
              <w:top w:val="single" w:color="D3DDD6" w:sz="6"/>
              <w:left w:val="single" w:color="D3DDD6" w:sz="6"/>
              <w:bottom w:val="single" w:color="D3DDD6" w:sz="6"/>
              <w:right w:val="single" w:color="D3DDD6" w:sz="6"/>
            </w:tcBorders>
          </w:tcPr>
          <w:p/>
        </w:tc>
      </w:tr>
      <w:tr>
        <w:trPr>
          <w:cantSplit/>
        </w:trPr>
        <w:tc>
          <w:tcPr>
            <w:gridSpan w:val="2"/>
            <w:tcBorders>
              <w:top w:val="single" w:color="0E8F5C" w:sz="8"/>
              <w:left w:val="single" w:color="0E8F5C" w:sz="8"/>
              <w:bottom w:val="single" w:color="0E8F5C" w:sz="8"/>
              <w:right w:val="single" w:color="0E8F5C" w:sz="8"/>
            </w:tcBorders>
            <w:shd w:fill="FBFDFB" w:color="auto" w:val="clear"/>
            <w:tcMar>
              <w:top w:type="dxa" w:w="110"/>
              <w:left w:type="dxa" w:w="120"/>
              <w:bottom w:type="dxa" w:w="110"/>
              <w:right w:type="dxa" w:w="120"/>
            </w:tcMar>
            <w:vAlign w:val="center"/>
          </w:tcPr>
          <w:p>
            <w:pPr>
              <w:spacing w:after="20" w:line="235" w:lineRule="auto"/>
              <w:jc w:val="center"/>
            </w:pPr>
            <w:commentRangeStart w:id="20"/>
            <w:r>
              <w:rPr>
                <w:rFonts w:ascii="Instrument Sans SemiBold" w:cs="Instrument Sans SemiBold" w:eastAsia="Instrument Sans SemiBold" w:hAnsi="Instrument Sans SemiBold"/>
                <w:color w:val="13261D"/>
                <w:sz w:val="21"/>
                <w:szCs w:val="21"/>
              </w:rPr>
              <w:t xml:space="preserve">Stevan Litobac</w:t>
            </w:r>
            <w:commentRangeEnd w:id="20"/>
            <w:r>
              <w:commentReference w:id="20"/>
            </w:r>
          </w:p>
          <w:p>
            <w:pPr>
              <w:spacing w:after="0" w:line="235" w:lineRule="auto"/>
              <w:jc w:val="center"/>
            </w:pPr>
            <w:r>
              <w:rPr>
                <w:rFonts w:ascii="Instrument Sans" w:cs="Instrument Sans" w:eastAsia="Instrument Sans" w:hAnsi="Instrument Sans"/>
                <w:color w:val="4A5E53"/>
                <w:sz w:val="17"/>
                <w:szCs w:val="17"/>
              </w:rPr>
              <w:t xml:space="preserve">Chief Operating Officer</w:t>
            </w:r>
          </w:p>
        </w:tc>
        <w:tc>
          <w:tcPr>
            <w:tcBorders>
              <w:top w:val="none" w:color="FFFFFF" w:sz="0"/>
              <w:left w:val="none" w:color="FFFFFF" w:sz="0"/>
              <w:bottom w:val="none" w:color="FFFFFF" w:sz="0"/>
              <w:right w:val="none" w:color="FFFFFF" w:sz="0"/>
            </w:tcBorders>
            <w:tcMar>
              <w:top w:type="dxa" w:w="110"/>
              <w:left w:type="dxa" w:w="120"/>
              <w:bottom w:type="dxa" w:w="110"/>
              <w:right w:type="dxa" w:w="120"/>
            </w:tcMar>
            <w:vAlign w:val="center"/>
          </w:tcPr>
          <w:p/>
        </w:tc>
        <w:tc>
          <w:tcPr>
            <w:vMerge w:val="continue"/>
            <w:tcBorders>
              <w:top w:val="single" w:color="D3DDD6" w:sz="6"/>
              <w:left w:val="single" w:color="D3DDD6" w:sz="6"/>
              <w:bottom w:val="single" w:color="D3DDD6" w:sz="6"/>
              <w:right w:val="single" w:color="D3DDD6" w:sz="6"/>
            </w:tcBorders>
          </w:tcPr>
          <w:p/>
        </w:tc>
      </w:tr>
    </w:tbl>
    <w:p>
      <w:pPr>
        <w:spacing w:after="160" w:before="0" w:line="120" w:lineRule="auto"/>
      </w:pP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Jonathan Simpson, CEO:</w:t>
      </w:r>
      <w:r>
        <w:rPr>
          <w:rFonts w:ascii="Instrument Sans" w:cs="Instrument Sans" w:eastAsia="Instrument Sans" w:hAnsi="Instrument Sans"/>
          <w:color w:val="13261D"/>
          <w:sz w:val="20"/>
          <w:szCs w:val="20"/>
        </w:rPr>
        <w:t xml:space="preserve"> leads the negotiations with law firms, insurers and brokers, and the business and financial plans.</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Stevan Litobac, COO:</w:t>
      </w:r>
      <w:r>
        <w:rPr>
          <w:rFonts w:ascii="Instrument Sans" w:cs="Instrument Sans" w:eastAsia="Instrument Sans" w:hAnsi="Instrument Sans"/>
          <w:color w:val="13261D"/>
          <w:sz w:val="20"/>
          <w:szCs w:val="20"/>
        </w:rPr>
        <w:t xml:space="preserve"> product, technology and operations; built the product.</w:t>
      </w:r>
    </w:p>
    <w:p>
      <w:pPr>
        <w:pStyle w:val="ListParagraph"/>
        <w:keepLines/>
        <w:numPr>
          <w:ilvl w:val="0"/>
          <w:numId w:val="2"/>
        </w:numPr>
        <w:spacing w:after="140" w:before="0" w:line="245" w:lineRule="auto"/>
      </w:pPr>
      <w:r>
        <w:rPr>
          <w:rFonts w:ascii="Instrument Sans SemiBold" w:cs="Instrument Sans SemiBold" w:eastAsia="Instrument Sans SemiBold" w:hAnsi="Instrument Sans SemiBold"/>
          <w:color w:val="13261D"/>
          <w:sz w:val="20"/>
          <w:szCs w:val="20"/>
        </w:rPr>
        <w:t xml:space="preserve">Advisors:</w:t>
      </w:r>
      <w:r>
        <w:rPr>
          <w:rFonts w:ascii="Instrument Sans" w:cs="Instrument Sans" w:eastAsia="Instrument Sans" w:hAnsi="Instrument Sans"/>
          <w:color w:val="13261D"/>
          <w:sz w:val="20"/>
          <w:szCs w:val="20"/>
        </w:rPr>
        <w:t xml:space="preserve"> Shaz Khan, Andrew Trower and Anna.</w:t>
      </w:r>
    </w:p>
    <w:p>
      <w:pPr>
        <w:pStyle w:val="Heading2"/>
        <w:keepNext/>
      </w:pPr>
      <w:r>
        <w:rPr>
          <w:rFonts w:ascii="Instrument Sans SemiBold" w:cs="Instrument Sans SemiBold" w:eastAsia="Instrument Sans SemiBold" w:hAnsi="Instrument Sans SemiBold"/>
          <w:color w:val="13261D"/>
          <w:sz w:val="21"/>
          <w:szCs w:val="21"/>
        </w:rPr>
        <w:t xml:space="preserve">The delivery team we need: </w:t>
      </w:r>
      <w:commentRangeStart w:id="21"/>
      <w:r>
        <w:rPr>
          <w:rFonts w:ascii="Instrument Sans SemiBold" w:cs="Instrument Sans SemiBold" w:eastAsia="Instrument Sans SemiBold" w:hAnsi="Instrument Sans SemiBold"/>
          <w:color w:val="13261D"/>
          <w:sz w:val="21"/>
          <w:szCs w:val="21"/>
        </w:rPr>
        <w:t xml:space="preserve">a development partner, part cash, part equity, under evaluation</w:t>
      </w:r>
      <w:commentRangeEnd w:id="21"/>
      <w:r>
        <w:commentReference w:id="21"/>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650"/>
        <w:gridCol w:w="2330"/>
        <w:gridCol w:w="3632"/>
        <w:gridCol w:w="800"/>
      </w:tblGrid>
      <w:tr>
        <w:trPr>
          <w:cantSplit/>
          <w:tblHeader/>
        </w:trPr>
        <w:tc>
          <w:tcPr>
            <w:tcW w:type="dxa" w:w="26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Role</w:t>
            </w:r>
          </w:p>
        </w:tc>
        <w:tc>
          <w:tcPr>
            <w:tcW w:type="dxa" w:w="233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Load</w:t>
            </w:r>
          </w:p>
        </w:tc>
        <w:tc>
          <w:tcPr>
            <w:tcW w:type="dxa" w:w="363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Covers</w:t>
            </w:r>
          </w:p>
        </w:tc>
        <w:tc>
          <w:tcPr>
            <w:tcW w:type="dxa" w:w="8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center"/>
            </w:pPr>
            <w:r>
              <w:rPr>
                <w:rFonts w:ascii="Instrument Sans SemiBold" w:cs="Instrument Sans SemiBold" w:eastAsia="Instrument Sans SemiBold" w:hAnsi="Instrument Sans SemiBold"/>
                <w:color w:val="4A5E53"/>
                <w:sz w:val="16"/>
                <w:szCs w:val="16"/>
              </w:rPr>
              <w:t xml:space="preserve">Priority</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Lead engineer (full-stack TypeScript, a named person)</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Full time, about 160 hours a month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and watch (with AI tools), server, database, operations console, releases</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Backup engineer (part time)</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40 hours a month, guaranteed</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Cover for the lead, on-call</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UI designer</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25 hours a month, 60 around launch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screens and marketing design</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DevOps</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25 hours a month from day one</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Monitoring, alerts, backups, deploys. The lead engineer sets up the launch essentials.</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2</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Project coordination</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15 hours a month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Planning, keeping documentation current</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r>
        <w:trPr>
          <w:cantSplit/>
        </w:trPr>
        <w:tc>
          <w:tcPr>
            <w:tcW w:type="dxa" w:w="26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Second full-time engineer</w:t>
            </w:r>
          </w:p>
        </w:tc>
        <w:tc>
          <w:tcPr>
            <w:tcW w:type="dxa" w:w="233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Full time, from a trigger (below)</w:t>
            </w:r>
          </w:p>
        </w:tc>
        <w:tc>
          <w:tcPr>
            <w:tcW w:type="dxa" w:w="363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More capacity as members grow</w:t>
            </w:r>
          </w:p>
        </w:tc>
        <w:tc>
          <w:tcPr>
            <w:tcW w:type="dxa" w:w="8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Technical support, first line</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As volume needs</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App, account and payment questions; passes problems to engineering</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3</w:t>
            </w:r>
          </w:p>
        </w:tc>
      </w:tr>
    </w:tbl>
    <w:p>
      <w:pPr>
        <w:spacing w:after="120" w:before="60" w:line="250" w:lineRule="auto"/>
      </w:pPr>
      <w:r>
        <w:rPr>
          <w:rFonts w:ascii="Instrument Sans" w:cs="Instrument Sans" w:eastAsia="Instrument Sans" w:hAnsi="Instrument Sans"/>
          <w:color w:val="4A5E53"/>
          <w:sz w:val="16"/>
          <w:szCs w:val="16"/>
        </w:rPr>
        <w:t xml:space="preserve">Priority 1: in place before launch. Priority 2: part time from launch. Priority 3: added as members grow. The second full-time engineer starts at whichever comes first: 90 days after soft launch, about 2,000 members, or two months running above 120% of planned hours.</w:t>
      </w:r>
    </w:p>
    <w:p>
      <w:pPr>
        <w:pStyle w:val="Heading2"/>
        <w:keepNext/>
      </w:pPr>
      <w:r>
        <w:rPr>
          <w:rFonts w:ascii="Instrument Sans SemiBold" w:cs="Instrument Sans SemiBold" w:eastAsia="Instrument Sans SemiBold" w:hAnsi="Instrument Sans SemiBold"/>
          <w:color w:val="13261D"/>
          <w:sz w:val="21"/>
          <w:szCs w:val="21"/>
        </w:rPr>
        <w:t xml:space="preserve">Operations cover: a 24/7 response desk</w:t>
      </w:r>
    </w:p>
    <w:p>
      <w:pPr>
        <w:keepNext/>
        <w:spacing w:after="100" w:before="0" w:line="250" w:lineRule="auto"/>
      </w:pPr>
      <w:r>
        <w:rPr>
          <w:rFonts w:ascii="Instrument Sans" w:cs="Instrument Sans" w:eastAsia="Instrument Sans" w:hAnsi="Instrument Sans"/>
          <w:color w:val="13261D"/>
          <w:sz w:val="20"/>
          <w:szCs w:val="20"/>
        </w:rPr>
        <w:t xml:space="preserve">Cases can start at any hour. ELA operations picks up each new case, chases the law firm until one accepts, keeps the member and their family informed, and checks the outcome before the case closes. The plan is an outsourced desk, trained on our procedures and working in our operations console around the clock from soft launch, with ELA’s own operations team behind it.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650"/>
        <w:gridCol w:w="2330"/>
        <w:gridCol w:w="3632"/>
        <w:gridCol w:w="800"/>
      </w:tblGrid>
      <w:tr>
        <w:trPr>
          <w:cantSplit/>
          <w:tblHeader/>
        </w:trPr>
        <w:tc>
          <w:tcPr>
            <w:tcW w:type="dxa" w:w="26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Role</w:t>
            </w:r>
          </w:p>
        </w:tc>
        <w:tc>
          <w:tcPr>
            <w:tcW w:type="dxa" w:w="233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Load</w:t>
            </w:r>
          </w:p>
        </w:tc>
        <w:tc>
          <w:tcPr>
            <w:tcW w:type="dxa" w:w="363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Covers</w:t>
            </w:r>
          </w:p>
        </w:tc>
        <w:tc>
          <w:tcPr>
            <w:tcW w:type="dxa" w:w="8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center"/>
            </w:pPr>
            <w:r>
              <w:rPr>
                <w:rFonts w:ascii="Instrument Sans SemiBold" w:cs="Instrument Sans SemiBold" w:eastAsia="Instrument Sans SemiBold" w:hAnsi="Instrument Sans SemiBold"/>
                <w:color w:val="4A5E53"/>
                <w:sz w:val="16"/>
                <w:szCs w:val="16"/>
              </w:rPr>
              <w:t xml:space="preserve">Priority</w:t>
            </w:r>
          </w:p>
        </w:tc>
      </w:tr>
      <w:tr>
        <w:trPr>
          <w:cantSplit/>
        </w:trPr>
        <w:tc>
          <w:tcPr>
            <w:tcW w:type="dxa" w:w="26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24/7 operations desk (outsourced)</w:t>
            </w:r>
          </w:p>
        </w:tc>
        <w:tc>
          <w:tcPr>
            <w:tcW w:type="dxa" w:w="233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Around the clock from soft launch</w:t>
            </w:r>
          </w:p>
        </w:tc>
        <w:tc>
          <w:tcPr>
            <w:tcW w:type="dxa" w:w="363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New cases, chasing law firms, updates to members and families; escalates to ELA operations</w:t>
            </w:r>
          </w:p>
        </w:tc>
        <w:tc>
          <w:tcPr>
            <w:tcW w:type="dxa" w:w="8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center"/>
            </w:pPr>
            <w:r>
              <w:rPr>
                <w:rFonts w:ascii="Instrument Sans" w:cs="Instrument Sans" w:eastAsia="Instrument Sans" w:hAnsi="Instrument Sans"/>
                <w:color w:val="13261D"/>
                <w:sz w:val="18"/>
                <w:szCs w:val="18"/>
              </w:rPr>
              <w:t xml:space="preserve">1</w:t>
            </w:r>
          </w:p>
        </w:tc>
      </w:tr>
    </w:tbl>
    <w:p>
      <w:pPr>
        <w:spacing w:after="120" w:before="60" w:line="250" w:lineRule="auto"/>
      </w:pPr>
      <w:r>
        <w:rPr>
          <w:rFonts w:ascii="Instrument Sans" w:cs="Instrument Sans" w:eastAsia="Instrument Sans" w:hAnsi="Instrument Sans"/>
          <w:color w:val="4A5E53"/>
          <w:sz w:val="16"/>
          <w:szCs w:val="16"/>
        </w:rPr>
        <w:t xml:space="preserve">Budget: the outsourced call centre line, AED 140,000 (section 5).</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7</w:t>
      </w:r>
      <w:r>
        <w:rPr>
          <w:rFonts w:ascii="Bricolage Grotesque SemiBold" w:cs="Bricolage Grotesque SemiBold" w:eastAsia="Bricolage Grotesque SemiBold" w:hAnsi="Bricolage Grotesque SemiBold"/>
          <w:color w:val="13261D"/>
          <w:sz w:val="30"/>
          <w:szCs w:val="30"/>
        </w:rPr>
        <w:t xml:space="preserve">   Invested to date</w:t>
      </w:r>
    </w:p>
    <w:p>
      <w:pPr>
        <w:keepNext/>
        <w:spacing w:after="100" w:before="0" w:line="250" w:lineRule="auto"/>
      </w:pPr>
      <w:r>
        <w:rPr>
          <w:rFonts w:ascii="Instrument Sans" w:cs="Instrument Sans" w:eastAsia="Instrument Sans" w:hAnsi="Instrument Sans"/>
          <w:color w:val="13261D"/>
          <w:sz w:val="20"/>
          <w:szCs w:val="20"/>
        </w:rPr>
        <w:t xml:space="preserve">Built May to September 2026 by our COO directing AI coding agents: iPhone and Android apps with an Apple Watch companion, a dispatch server, an operations console and payments, running end to end on our production servers in test mode.</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900"/>
        <w:gridCol w:w="5150"/>
        <w:gridCol w:w="2362"/>
      </w:tblGrid>
      <w:tr>
        <w:trPr>
          <w:cantSplit/>
          <w:tblHeader/>
        </w:trPr>
        <w:tc>
          <w:tcPr>
            <w:tcW w:type="dxa" w:w="1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What</w:t>
            </w:r>
          </w:p>
        </w:tc>
        <w:tc>
          <w:tcPr>
            <w:tcW w:type="dxa" w:w="515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Basis</w:t>
            </w:r>
          </w:p>
        </w:tc>
        <w:tc>
          <w:tcPr>
            <w:tcW w:type="dxa" w:w="236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Value (AED)</w:t>
            </w:r>
          </w:p>
        </w:tc>
      </w:tr>
      <w:tr>
        <w:trPr>
          <w:cantSplit/>
        </w:trPr>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22"/>
            <w:r>
              <w:rPr>
                <w:rFonts w:ascii="Instrument Sans SemiBold" w:cs="Instrument Sans SemiBold" w:eastAsia="Instrument Sans SemiBold" w:hAnsi="Instrument Sans SemiBold"/>
                <w:color w:val="13261D"/>
                <w:sz w:val="18"/>
                <w:szCs w:val="18"/>
              </w:rPr>
              <w:t xml:space="preserve">COO time (sweat equity)</w:t>
            </w:r>
            <w:commentRangeEnd w:id="22"/>
            <w:r>
              <w:commentReference w:id="22"/>
            </w:r>
          </w:p>
        </w:tc>
        <w:tc>
          <w:tcPr>
            <w:tcW w:type="dxa" w:w="51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About 600 hours from 7 May to 30 September 2026, including long runs of full days, valued at his salary rate.</w:t>
            </w:r>
          </w:p>
        </w:tc>
        <w:tc>
          <w:tcPr>
            <w:tcW w:type="dxa" w:w="23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about 180,000</w:t>
            </w:r>
          </w:p>
        </w:tc>
      </w:tr>
      <w:tr>
        <w:trPr>
          <w:cantSplit/>
        </w:trPr>
        <w:tc>
          <w:tcPr>
            <w:tcW w:type="dxa" w:w="1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commentRangeStart w:id="23"/>
            <w:r>
              <w:rPr>
                <w:rFonts w:ascii="Instrument Sans SemiBold" w:cs="Instrument Sans SemiBold" w:eastAsia="Instrument Sans SemiBold" w:hAnsi="Instrument Sans SemiBold"/>
                <w:color w:val="13261D"/>
                <w:sz w:val="18"/>
                <w:szCs w:val="18"/>
              </w:rPr>
              <w:t xml:space="preserve">CEO time (sweat equity)</w:t>
            </w:r>
            <w:commentRangeEnd w:id="23"/>
            <w:r>
              <w:commentReference w:id="23"/>
            </w:r>
          </w:p>
        </w:tc>
        <w:tc>
          <w:tcPr>
            <w:tcW w:type="dxa" w:w="515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Meetings and negotiations with law firms, insurers and brokers since May.</w:t>
            </w:r>
          </w:p>
        </w:tc>
        <w:tc>
          <w:tcPr>
            <w:tcW w:type="dxa" w:w="236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TBD</w:t>
            </w:r>
          </w:p>
        </w:tc>
      </w:tr>
      <w:tr>
        <w:trPr>
          <w:cantSplit/>
        </w:trPr>
        <w:tc>
          <w:tcPr>
            <w:tcW w:type="dxa" w:w="1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commentRangeStart w:id="24"/>
            <w:r>
              <w:rPr>
                <w:rFonts w:ascii="Instrument Sans SemiBold" w:cs="Instrument Sans SemiBold" w:eastAsia="Instrument Sans SemiBold" w:hAnsi="Instrument Sans SemiBold"/>
                <w:color w:val="13261D"/>
                <w:sz w:val="18"/>
                <w:szCs w:val="18"/>
              </w:rPr>
              <w:t xml:space="preserve">Cash spent</w:t>
            </w:r>
            <w:commentRangeEnd w:id="24"/>
            <w:r>
              <w:commentReference w:id="24"/>
            </w:r>
          </w:p>
        </w:tc>
        <w:tc>
          <w:tcPr>
            <w:tcW w:type="dxa" w:w="515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AI development tools (Claude and Codex), servers, the ela.now domain, and video and audio tools for marketing.</w:t>
            </w:r>
          </w:p>
        </w:tc>
        <w:tc>
          <w:tcPr>
            <w:tcW w:type="dxa" w:w="236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about 15,000</w:t>
            </w:r>
          </w:p>
        </w:tc>
      </w:tr>
      <w:tr>
        <w:trPr>
          <w:cantSplit/>
        </w:trPr>
        <w:tc>
          <w:tcPr>
            <w:tcW w:type="dxa" w:w="19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Total so far</w:t>
            </w:r>
          </w:p>
        </w:tc>
        <w:tc>
          <w:tcPr>
            <w:tcW w:type="dxa" w:w="515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COO time and cash; the CEO’s time is still to be added.</w:t>
            </w:r>
          </w:p>
        </w:tc>
        <w:tc>
          <w:tcPr>
            <w:tcW w:type="dxa" w:w="2362"/>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about 195,000 + TBD</w:t>
            </w:r>
          </w:p>
        </w:tc>
      </w:tr>
    </w:tbl>
    <w:p>
      <w:pPr>
        <w:spacing w:after="120" w:before="60" w:line="250" w:lineRule="auto"/>
      </w:pPr>
      <w:commentRangeStart w:id="25"/>
      <w:r>
        <w:rPr>
          <w:rFonts w:ascii="Instrument Sans" w:cs="Instrument Sans" w:eastAsia="Instrument Sans" w:hAnsi="Instrument Sans"/>
          <w:color w:val="4A5E53"/>
          <w:sz w:val="16"/>
          <w:szCs w:val="16"/>
        </w:rPr>
        <w:t xml:space="preserve">None of this time has been paid.</w:t>
      </w:r>
      <w:commentRangeEnd w:id="25"/>
      <w:r>
        <w:commentReference w:id="25"/>
      </w:r>
      <w:r>
        <w:rPr>
          <w:rFonts w:ascii="Instrument Sans" w:cs="Instrument Sans" w:eastAsia="Instrument Sans" w:hAnsi="Instrument Sans"/>
          <w:color w:val="4A5E53"/>
          <w:sz w:val="16"/>
          <w:szCs w:val="16"/>
        </w:rPr>
        <w:t xml:space="preserve"> Where it leaves us: the product works end to end on our production servers in test mode, and about 4-6 weeks of launch work remain (section 2).</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8</w:t>
      </w:r>
      <w:r>
        <w:rPr>
          <w:rFonts w:ascii="Bricolage Grotesque SemiBold" w:cs="Bricolage Grotesque SemiBold" w:eastAsia="Bricolage Grotesque SemiBold" w:hAnsi="Bricolage Grotesque SemiBold"/>
          <w:color w:val="13261D"/>
          <w:sz w:val="30"/>
          <w:szCs w:val="30"/>
        </w:rPr>
        <w:t xml:space="preserve">   Risks and competition</w:t>
      </w:r>
    </w:p>
    <w:tbl>
      <w:tblPr>
        <w:tblW w:type="dxa" w:w="94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706"/>
        <w:gridCol w:w="4706"/>
      </w:tblGrid>
      <w:tr>
        <w:trPr>
          <w:cantSplit/>
        </w:trPr>
        <w:tc>
          <w:tcPr>
            <w:tcW w:type="dxa" w:w="4706"/>
            <w:tcBorders>
              <w:top w:val="single" w:color="FFFFFF" w:sz="20"/>
              <w:left w:val="single" w:color="FFFFFF" w:sz="20"/>
              <w:bottom w:val="single" w:color="FFFFFF" w:sz="20"/>
              <w:right w:val="single" w:color="FFFFFF" w:sz="20"/>
            </w:tcBorders>
            <w:shd w:fill="D3EBDD"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Strengths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Working product: iPhone and Android apps, Apple Watch, servers and a console.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One hold sends for a lawyer, the consulate and family.</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Once the hold commits, the response runs on our servers.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Built for residents at home; card and travel cover only works on trips.</w:t>
            </w:r>
          </w:p>
        </w:tc>
        <w:tc>
          <w:tcPr>
            <w:tcW w:type="dxa" w:w="4706"/>
            <w:tcBorders>
              <w:top w:val="single" w:color="FFFFFF" w:sz="20"/>
              <w:left w:val="single" w:color="FFFFFF" w:sz="20"/>
              <w:bottom w:val="single" w:color="FFFFFF" w:sz="20"/>
              <w:right w:val="single" w:color="FFFFFF" w:sz="20"/>
            </w:tcBorders>
            <w:shd w:fill="F2F6F2"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Weaknesses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Pre-launch: no members or revenue yet.</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One law firm at launch, and its contract is unsigned.</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The Android app is newer and less tested than the iPhone app.</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Small team; the 24/7 response desk is not yet staffed.</w:t>
            </w:r>
          </w:p>
        </w:tc>
      </w:tr>
      <w:tr>
        <w:trPr>
          <w:cantSplit/>
        </w:trPr>
        <w:tc>
          <w:tcPr>
            <w:tcW w:type="dxa" w:w="4706"/>
            <w:tcBorders>
              <w:top w:val="single" w:color="FFFFFF" w:sz="20"/>
              <w:left w:val="single" w:color="FFFFFF" w:sz="20"/>
              <w:bottom w:val="single" w:color="FFFFFF" w:sz="20"/>
              <w:right w:val="single" w:color="FFFFFF" w:sz="20"/>
            </w:tcBorders>
            <w:shd w:fill="F2F6F2"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Opportunities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UAE authorities don’t routinely notify the US embassy of arrests (State Department).</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Employers’ duty of care: company-paid seats for resident staff.</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Partners: wellbeing providers, insurers, banks and assistance companies.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Gulf roll-out from year two.</w:t>
            </w:r>
          </w:p>
        </w:tc>
        <w:tc>
          <w:tcPr>
            <w:tcW w:type="dxa" w:w="4706"/>
            <w:tcBorders>
              <w:top w:val="single" w:color="FFFFFF" w:sz="20"/>
              <w:left w:val="single" w:color="FFFFFF" w:sz="20"/>
              <w:bottom w:val="single" w:color="FFFFFF" w:sz="20"/>
              <w:right w:val="single" w:color="FFFFFF" w:sz="20"/>
            </w:tcBorders>
            <w:shd w:fill="D3EBDD" w:color="auto" w:val="clear"/>
            <w:tcMar>
              <w:top w:type="dxa" w:w="130"/>
              <w:left w:type="dxa" w:w="170"/>
              <w:bottom w:type="dxa" w:w="110"/>
              <w:right w:type="dxa" w:w="150"/>
            </w:tcMar>
          </w:tcPr>
          <w:p>
            <w:pPr>
              <w:keepNext/>
              <w:spacing w:after="80"/>
            </w:pPr>
            <w:r>
              <w:rPr>
                <w:rFonts w:ascii="Instrument Sans SemiBold" w:cs="Instrument Sans SemiBold" w:eastAsia="Instrument Sans SemiBold" w:hAnsi="Instrument Sans SemiBold"/>
                <w:color w:val="0B7549"/>
                <w:sz w:val="19"/>
                <w:szCs w:val="19"/>
              </w:rPr>
              <w:t xml:space="preserve">Threats</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UAE law fines anyone paid a commission to bring clients to a lawyer.</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Legal Cover or a similar subscription adds an emergency service.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A bank, insurer or card issuer bundles something similar.</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Pay-per-use SOS services, like Bahrain’s, reach the UAE.</w:t>
            </w:r>
          </w:p>
          <w:p>
            <w:pPr>
              <w:pStyle w:val="ListParagraph"/>
              <w:keepLines/>
              <w:numPr>
                <w:ilvl w:val="0"/>
                <w:numId w:val="2"/>
              </w:numPr>
              <w:spacing w:after="40" w:before="0" w:line="245" w:lineRule="auto"/>
            </w:pPr>
            <w:r>
              <w:rPr>
                <w:rFonts w:ascii="Instrument Sans" w:cs="Instrument Sans" w:eastAsia="Instrument Sans" w:hAnsi="Instrument Sans"/>
                <w:color w:val="13261D"/>
                <w:sz w:val="18"/>
                <w:szCs w:val="18"/>
              </w:rPr>
              <w:t xml:space="preserve">Earning insurance commission may need a Central Bank licence.</w:t>
            </w:r>
          </w:p>
        </w:tc>
      </w:tr>
    </w:tbl>
    <w:p>
      <w:pPr>
        <w:spacing w:after="140" w:before="0" w:line="120" w:lineRule="auto"/>
      </w:pPr>
    </w:p>
    <w:p>
      <w:pPr>
        <w:pStyle w:val="Heading2"/>
        <w:keepNext/>
      </w:pPr>
      <w:commentRangeStart w:id="26"/>
      <w:r>
        <w:rPr>
          <w:rFonts w:ascii="Instrument Sans SemiBold" w:cs="Instrument Sans SemiBold" w:eastAsia="Instrument Sans SemiBold" w:hAnsi="Instrument Sans SemiBold"/>
          <w:color w:val="13261D"/>
          <w:sz w:val="21"/>
          <w:szCs w:val="21"/>
        </w:rPr>
        <w:t xml:space="preserve">The competitors that matter</w:t>
      </w:r>
      <w:commentRangeEnd w:id="26"/>
      <w:r>
        <w:commentReference w:id="26"/>
      </w:r>
    </w:p>
    <w:p>
      <w:pPr>
        <w:keepNext/>
        <w:spacing w:after="100" w:before="0" w:line="250" w:lineRule="auto"/>
      </w:pPr>
      <w:commentRangeStart w:id="27"/>
      <w:r>
        <w:rPr>
          <w:rFonts w:ascii="Instrument Sans" w:cs="Instrument Sans" w:eastAsia="Instrument Sans" w:hAnsi="Instrument Sans"/>
          <w:color w:val="13261D"/>
          <w:sz w:val="20"/>
          <w:szCs w:val="20"/>
        </w:rPr>
        <w:t xml:space="preserve">Our scan found no product in the UAE or the Gulf where one button sends for a lawyer, the consulate and family. Today people pay a firm per case.</w:t>
      </w:r>
      <w:commentRangeEnd w:id="27"/>
      <w:r>
        <w:commentReference w:id="27"/>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000"/>
        <w:gridCol w:w="3900"/>
        <w:gridCol w:w="3512"/>
      </w:tblGrid>
      <w:tr>
        <w:trPr>
          <w:cantSplit/>
          <w:tblHeader/>
        </w:trPr>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Name</w:t>
            </w:r>
          </w:p>
        </w:tc>
        <w:tc>
          <w:tcPr>
            <w:tcW w:type="dxa" w:w="39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What it does</w:t>
            </w:r>
          </w:p>
        </w:tc>
        <w:tc>
          <w:tcPr>
            <w:tcW w:type="dxa" w:w="35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4A5E53"/>
                <w:sz w:val="16"/>
                <w:szCs w:val="16"/>
              </w:rPr>
              <w:t xml:space="preserve">How ELA differs</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Legal Cover (UAE)</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Legal-advice subscription from AED 95 a month. Markets “police matters” but sells advice calls, with response options from priority to 24 hours. No app and no court representation.</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Built for the emergency itself: one hold sends the case to a law firm and alerts the consulate and family.</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Lawyers.bh Legal SOS (Bahrain)</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An SOS page that sends the nearest advocate within minutes, around the clock. Pay per incident: BHD 150 for an arrest.</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A membership with app and watch that also alerts the consulate and family. Bahrain is in our year-two roll-out.</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Dubai law firms with 24/7 arrest lines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Call after an arrest. Some promise a response within 30 minutes and attend the police station. Fees set per case.</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No number to find in the moment: one hold alerts the firm, the consulate and family, with the member’s location.</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Phone SOS (Apple, Android)</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Free. Calls emergency services and alerts the member’s emergency contacts with their location.</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In an arrest the police are the detaining authority. ELA sends for a lawyer and the consulate as well as family.</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Travel insurance and premium cards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Bail, or a lawyer’s fee advanced to the card, on trips only (Sukoon Travel Easy, Amex Platinum). Sukoon’s travel policy excludes detention for breaking the law.</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Covers residents at home. ELA’s planned insurance add-on pays legal fees and bail.</w:t>
            </w:r>
          </w:p>
        </w:tc>
      </w:tr>
      <w:tr>
        <w:trPr>
          <w:cantSplit/>
        </w:trPr>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Employer assistance (International SOS)</w:t>
            </w:r>
          </w:p>
        </w:tc>
        <w:tc>
          <w:tcPr>
            <w:tcW w:type="dxa" w:w="39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24-hour assistance for organisations’ staff, with a Dubai assistance centre. For an arrest, its published service (in an older guide) is a lawyer referral.</w:t>
            </w:r>
          </w:p>
        </w:tc>
        <w:tc>
          <w:tcPr>
            <w:tcW w:type="dxa" w:w="35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Runs the whole response for resident staff at home. More likely a partner than a rival.</w:t>
            </w:r>
          </w:p>
        </w:tc>
      </w:tr>
      <w:tr>
        <w:trPr>
          <w:cantSplit/>
        </w:trPr>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SemiBold" w:cs="Instrument Sans SemiBold" w:eastAsia="Instrument Sans SemiBold" w:hAnsi="Instrument Sans SemiBold"/>
                <w:color w:val="13261D"/>
                <w:sz w:val="18"/>
                <w:szCs w:val="18"/>
              </w:rPr>
              <w:t xml:space="preserve">Consulates</w:t>
            </w:r>
          </w:p>
        </w:tc>
        <w:tc>
          <w:tcPr>
            <w:tcW w:type="dxa" w:w="39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Help once they are told, with lists of local lawyers. The US says UAE authorities “do not routinely notify” it of a citizen’s arrest.</w:t>
            </w:r>
          </w:p>
        </w:tc>
        <w:tc>
          <w:tcPr>
            <w:tcW w:type="dxa" w:w="35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val="false"/>
              <w:spacing w:after="0" w:before="0" w:line="235" w:lineRule="auto"/>
            </w:pPr>
            <w:r>
              <w:rPr>
                <w:rFonts w:ascii="Instrument Sans" w:cs="Instrument Sans" w:eastAsia="Instrument Sans" w:hAnsi="Instrument Sans"/>
                <w:color w:val="13261D"/>
                <w:sz w:val="18"/>
                <w:szCs w:val="18"/>
              </w:rPr>
              <w:t xml:space="preserve">ELA tells the consulate at once and brings in a firm that takes the case.</w:t>
            </w:r>
          </w:p>
        </w:tc>
      </w:tr>
    </w:tbl>
    <w:p>
      <w:pPr>
        <w:spacing w:after="120" w:before="60" w:line="250" w:lineRule="auto"/>
      </w:pPr>
      <w:r>
        <w:rPr>
          <w:rFonts w:ascii="Instrument Sans" w:cs="Instrument Sans" w:eastAsia="Instrument Sans" w:hAnsi="Instrument Sans"/>
          <w:color w:val="4A5E53"/>
          <w:sz w:val="16"/>
          <w:szCs w:val="16"/>
        </w:rPr>
        <w:t xml:space="preserve">Abroad, LegalShield in the US sells membership legal plans whose 24/7 line covers arrests, and says it serves over 4.5 million people across all its plans, in the US and Canada. All examples checked at source on 1 October 2026.</w:t>
      </w:r>
    </w:p>
    <w:p>
      <w:pPr>
        <w:pStyle w:val="Heading2"/>
        <w:keepNext/>
      </w:pPr>
      <w:r>
        <w:rPr>
          <w:rFonts w:ascii="Instrument Sans SemiBold" w:cs="Instrument Sans SemiBold" w:eastAsia="Instrument Sans SemiBold" w:hAnsi="Instrument Sans SemiBold"/>
          <w:color w:val="13261D"/>
          <w:sz w:val="21"/>
          <w:szCs w:val="21"/>
        </w:rPr>
        <w:t xml:space="preserve">Legal checks before launch</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Referral commission.</w:t>
      </w:r>
      <w:r>
        <w:rPr>
          <w:rFonts w:ascii="Instrument Sans" w:cs="Instrument Sans" w:eastAsia="Instrument Sans" w:hAnsi="Instrument Sans"/>
          <w:color w:val="13261D"/>
          <w:sz w:val="20"/>
          <w:szCs w:val="20"/>
        </w:rPr>
        <w:t xml:space="preserve"> UAE law fines anyone who, for a commission, brings clients to a lawyer </w:t>
      </w:r>
      <w:commentRangeStart w:id="28"/>
      <w:r>
        <w:rPr>
          <w:rFonts w:ascii="Instrument Sans" w:cs="Instrument Sans" w:eastAsia="Instrument Sans" w:hAnsi="Instrument Sans"/>
          <w:color w:val="13261D"/>
          <w:sz w:val="20"/>
          <w:szCs w:val="20"/>
        </w:rPr>
        <w:t xml:space="preserve">(Federal Decree-Law 34 of 2022, Art. 101)</w:t>
      </w:r>
      <w:commentRangeEnd w:id="28"/>
      <w:r>
        <w:commentReference w:id="28"/>
      </w:r>
      <w:r>
        <w:rPr>
          <w:rFonts w:ascii="Instrument Sans" w:cs="Instrument Sans" w:eastAsia="Instrument Sans" w:hAnsi="Instrument Sans"/>
          <w:color w:val="13261D"/>
          <w:sz w:val="20"/>
          <w:szCs w:val="20"/>
        </w:rPr>
        <w:t xml:space="preserve">. We may need written advice, or a different fee structure, before charging firms.</w:t>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Insurance.</w:t>
      </w:r>
      <w:r>
        <w:rPr>
          <w:rFonts w:ascii="Instrument Sans" w:cs="Instrument Sans" w:eastAsia="Instrument Sans" w:hAnsi="Instrument Sans"/>
          <w:color w:val="13261D"/>
          <w:sz w:val="20"/>
          <w:szCs w:val="20"/>
        </w:rPr>
        <w:t xml:space="preserve"> </w:t>
      </w:r>
      <w:commentRangeStart w:id="29"/>
      <w:r>
        <w:rPr>
          <w:rFonts w:ascii="Instrument Sans" w:cs="Instrument Sans" w:eastAsia="Instrument Sans" w:hAnsi="Instrument Sans"/>
          <w:color w:val="13261D"/>
          <w:sz w:val="20"/>
          <w:szCs w:val="20"/>
        </w:rPr>
        <w:t xml:space="preserve">Earning commission on the add-on, or promoting it in the app, may need a licence or a licensed intermediary.</w:t>
      </w:r>
      <w:commentRangeEnd w:id="29"/>
      <w:r>
        <w:commentReference w:id="29"/>
      </w:r>
    </w:p>
    <w:p>
      <w:pPr>
        <w:pStyle w:val="ListParagraph"/>
        <w:keepLines/>
        <w:numPr>
          <w:ilvl w:val="0"/>
          <w:numId w:val="2"/>
        </w:numPr>
        <w:spacing w:after="60" w:before="0" w:line="245" w:lineRule="auto"/>
      </w:pPr>
      <w:r>
        <w:rPr>
          <w:rFonts w:ascii="Instrument Sans SemiBold" w:cs="Instrument Sans SemiBold" w:eastAsia="Instrument Sans SemiBold" w:hAnsi="Instrument Sans SemiBold"/>
          <w:color w:val="13261D"/>
          <w:sz w:val="20"/>
          <w:szCs w:val="20"/>
        </w:rPr>
        <w:t xml:space="preserve">Who represents.</w:t>
      </w:r>
      <w:r>
        <w:rPr>
          <w:rFonts w:ascii="Instrument Sans" w:cs="Instrument Sans" w:eastAsia="Instrument Sans" w:hAnsi="Instrument Sans"/>
          <w:color w:val="13261D"/>
          <w:sz w:val="20"/>
          <w:szCs w:val="20"/>
        </w:rPr>
        <w:t xml:space="preserve"> Only licensed lawyers may represent people before the police and prosecutors (Art. 6), so our response team coordinates and the law firm acts.</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9</w:t>
      </w:r>
      <w:r>
        <w:rPr>
          <w:rFonts w:ascii="Bricolage Grotesque SemiBold" w:cs="Bricolage Grotesque SemiBold" w:eastAsia="Bricolage Grotesque SemiBold" w:hAnsi="Bricolage Grotesque SemiBold"/>
          <w:color w:val="13261D"/>
          <w:sz w:val="30"/>
          <w:szCs w:val="30"/>
        </w:rPr>
        <w:t xml:space="preserve">   The raise</w:t>
      </w:r>
    </w:p>
    <w:p>
      <w:pPr>
        <w:keepNext/>
        <w:spacing w:after="100" w:before="0" w:line="250" w:lineRule="auto"/>
      </w:pPr>
      <w:commentRangeStart w:id="30"/>
      <w:r>
        <w:rPr>
          <w:rFonts w:ascii="Instrument Sans" w:cs="Instrument Sans" w:eastAsia="Instrument Sans" w:hAnsi="Instrument Sans"/>
          <w:color w:val="13261D"/>
          <w:sz w:val="20"/>
          <w:szCs w:val="20"/>
        </w:rPr>
        <w:t xml:space="preserve">AED 7,000,000 (about USD 1.9M), as proposed in the July 2026 plan.</w:t>
      </w:r>
      <w:commentRangeEnd w:id="30"/>
      <w:r>
        <w:commentReference w:id="30"/>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4000"/>
        <w:gridCol w:w="2000"/>
        <w:gridCol w:w="3412"/>
      </w:tblGrid>
      <w:tr>
        <w:trPr>
          <w:cantSplit/>
          <w:tblHeader/>
        </w:trPr>
        <w:tc>
          <w:tcPr>
            <w:tcW w:type="dxa" w:w="4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Use of funds</w:t>
            </w:r>
          </w:p>
        </w:tc>
        <w:tc>
          <w:tcPr>
            <w:tcW w:type="dxa" w:w="20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AED</w:t>
            </w:r>
          </w:p>
        </w:tc>
        <w:tc>
          <w:tcPr>
            <w:tcW w:type="dxa" w:w="3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Share</w:t>
            </w:r>
          </w:p>
        </w:tc>
      </w:tr>
      <w:tr>
        <w:trPr>
          <w:cantSplit/>
        </w:trPr>
        <w:tc>
          <w:tcPr>
            <w:tcW w:type="dxa" w:w="4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Technical</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1,200,000</w:t>
            </w:r>
          </w:p>
        </w:tc>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17%</w:t>
            </w:r>
          </w:p>
        </w:tc>
      </w:tr>
      <w:tr>
        <w:trPr>
          <w:cantSplit/>
        </w:trPr>
        <w:tc>
          <w:tcPr>
            <w:tcW w:type="dxa" w:w="4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Marketing</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1,540,000</w:t>
            </w:r>
          </w:p>
        </w:tc>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22%</w:t>
            </w:r>
          </w:p>
        </w:tc>
      </w:tr>
      <w:tr>
        <w:trPr>
          <w:cantSplit/>
        </w:trPr>
        <w:tc>
          <w:tcPr>
            <w:tcW w:type="dxa" w:w="4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Administration</w:t>
            </w:r>
          </w:p>
        </w:tc>
        <w:tc>
          <w:tcPr>
            <w:tcW w:type="dxa" w:w="2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1,880,000</w:t>
            </w:r>
          </w:p>
        </w:tc>
        <w:tc>
          <w:tcPr>
            <w:tcW w:type="dxa" w:w="3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27%</w:t>
            </w:r>
          </w:p>
        </w:tc>
      </w:tr>
      <w:tr>
        <w:trPr>
          <w:cantSplit/>
        </w:trPr>
        <w:tc>
          <w:tcPr>
            <w:tcW w:type="dxa" w:w="4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Contingency</w:t>
            </w:r>
          </w:p>
        </w:tc>
        <w:tc>
          <w:tcPr>
            <w:tcW w:type="dxa" w:w="2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2,380,000</w:t>
            </w:r>
          </w:p>
        </w:tc>
        <w:tc>
          <w:tcPr>
            <w:tcW w:type="dxa" w:w="3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34%</w:t>
            </w:r>
          </w:p>
        </w:tc>
      </w:tr>
      <w:tr>
        <w:trPr>
          <w:cantSplit/>
        </w:trPr>
        <w:tc>
          <w:tcPr>
            <w:tcW w:type="dxa" w:w="4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Total</w:t>
            </w:r>
          </w:p>
        </w:tc>
        <w:tc>
          <w:tcPr>
            <w:tcW w:type="dxa" w:w="2000"/>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7,000,000</w:t>
            </w:r>
          </w:p>
        </w:tc>
        <w:tc>
          <w:tcPr>
            <w:tcW w:type="dxa" w:w="3412"/>
            <w:tcBorders>
              <w:top w:val="none" w:color="FFFFFF" w:sz="0"/>
              <w:left w:val="none" w:color="FFFFFF" w:sz="0"/>
              <w:bottom w:val="single" w:color="D3DDD6" w:sz="4"/>
              <w:right w:val="none" w:color="FFFFFF" w:sz="0"/>
            </w:tcBorders>
            <w:shd w:fill="D3EBDD"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13261D"/>
                <w:sz w:val="18"/>
                <w:szCs w:val="18"/>
              </w:rPr>
              <w:t xml:space="preserve">100%</w:t>
            </w:r>
          </w:p>
        </w:tc>
      </w:tr>
    </w:tbl>
    <w:p>
      <w:pPr>
        <w:spacing w:after="120" w:before="0" w:line="120" w:lineRule="auto"/>
      </w:pP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The product is built, so the raise pays for launch and the first year of running and selling ELA.</w:t>
      </w: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About 18 months of runway before any revenue: the year-one budget covers 12 months, and the contingency carries the same spending for about six more.</w:t>
      </w: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Instrument and valuation to be agreed.</w:t>
      </w:r>
    </w:p>
    <w:p>
      <w:pPr>
        <w:pStyle w:val="ListParagraph"/>
        <w:keepLines/>
        <w:numPr>
          <w:ilvl w:val="0"/>
          <w:numId w:val="2"/>
        </w:numPr>
        <w:spacing w:after="60" w:before="0" w:line="245" w:lineRule="auto"/>
      </w:pPr>
      <w:r>
        <w:rPr>
          <w:rFonts w:ascii="Instrument Sans" w:cs="Instrument Sans" w:eastAsia="Instrument Sans" w:hAnsi="Instrument Sans"/>
          <w:color w:val="13261D"/>
          <w:sz w:val="20"/>
          <w:szCs w:val="20"/>
        </w:rPr>
        <w:t xml:space="preserve">A development partner contributing work for equity would reduce the cash needed (under evaluation, section 6).</w:t>
      </w:r>
    </w:p>
    <w:p>
      <w:pPr>
        <w:pStyle w:val="Heading1"/>
        <w:keepNext/>
        <w:keepLines/>
      </w:pPr>
      <w:r>
        <w:rPr>
          <w:rFonts w:ascii="Bricolage Grotesque SemiBold" w:cs="Bricolage Grotesque SemiBold" w:eastAsia="Bricolage Grotesque SemiBold" w:hAnsi="Bricolage Grotesque SemiBold"/>
          <w:color w:val="0E8F5C"/>
          <w:sz w:val="30"/>
          <w:szCs w:val="30"/>
        </w:rPr>
        <w:t xml:space="preserve">A</w:t>
      </w:r>
      <w:r>
        <w:rPr>
          <w:rFonts w:ascii="Bricolage Grotesque SemiBold" w:cs="Bricolage Grotesque SemiBold" w:eastAsia="Bricolage Grotesque SemiBold" w:hAnsi="Bricolage Grotesque SemiBold"/>
          <w:color w:val="13261D"/>
          <w:sz w:val="30"/>
          <w:szCs w:val="30"/>
        </w:rPr>
        <w:t xml:space="preserve">   Appendix</w:t>
      </w:r>
    </w:p>
    <w:p>
      <w:pPr>
        <w:pStyle w:val="Heading2"/>
        <w:keepNext/>
      </w:pPr>
      <w:r>
        <w:rPr>
          <w:rFonts w:ascii="Instrument Sans SemiBold" w:cs="Instrument Sans SemiBold" w:eastAsia="Instrument Sans SemiBold" w:hAnsi="Instrument Sans SemiBold"/>
          <w:color w:val="13261D"/>
          <w:sz w:val="21"/>
          <w:szCs w:val="21"/>
        </w:rPr>
        <w:t xml:space="preserve">Insurance add-on terms (July 2026 plan)</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3000"/>
        <w:gridCol w:w="6412"/>
      </w:tblGrid>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Premium</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AED 3,000 per adult a year</w:t>
            </w:r>
          </w:p>
        </w:tc>
      </w:tr>
      <w:tr>
        <w:trPr>
          <w:cantSplit/>
        </w:trPr>
        <w:tc>
          <w:tcPr>
            <w:tcW w:type="dxa" w:w="3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Cover per claim</w:t>
            </w:r>
          </w:p>
        </w:tc>
        <w:tc>
          <w:tcPr>
            <w:tcW w:type="dxa" w:w="6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Up to AED 150,000: legal fees up to AED 100,000, bail up to AED 50,000</w:t>
            </w:r>
          </w:p>
        </w:tc>
      </w:tr>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Deductible</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AED 20,000 per claim</w:t>
            </w:r>
          </w:p>
        </w:tc>
      </w:tr>
      <w:tr>
        <w:trPr>
          <w:cantSplit/>
        </w:trPr>
        <w:tc>
          <w:tcPr>
            <w:tcW w:type="dxa" w:w="30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Cooling-off period</w:t>
            </w:r>
          </w:p>
        </w:tc>
        <w:tc>
          <w:tcPr>
            <w:tcW w:type="dxa" w:w="6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30-90 days</w:t>
            </w:r>
          </w:p>
        </w:tc>
      </w:tr>
      <w:tr>
        <w:trPr>
          <w:cantSplit/>
        </w:trPr>
        <w:tc>
          <w:tcPr>
            <w:tcW w:type="dxa" w:w="30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Claims are triggered by</w:t>
            </w:r>
          </w:p>
        </w:tc>
        <w:tc>
          <w:tcPr>
            <w:tcW w:type="dxa" w:w="6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A criminal complaint, arrest or detention, or prosecution</w:t>
            </w:r>
          </w:p>
        </w:tc>
      </w:tr>
    </w:tbl>
    <w:p>
      <w:pPr>
        <w:spacing w:after="120" w:before="0" w:line="120" w:lineRule="auto"/>
      </w:pPr>
    </w:p>
    <w:p>
      <w:pPr>
        <w:pStyle w:val="Heading2"/>
        <w:keepNext/>
      </w:pPr>
      <w:commentRangeStart w:id="31"/>
      <w:r>
        <w:rPr>
          <w:rFonts w:ascii="Instrument Sans SemiBold" w:cs="Instrument Sans SemiBold" w:eastAsia="Instrument Sans SemiBold" w:hAnsi="Instrument Sans SemiBold"/>
          <w:color w:val="13261D"/>
          <w:sz w:val="21"/>
          <w:szCs w:val="21"/>
        </w:rPr>
        <w:t xml:space="preserve">The insurer’s claims model, base case</w:t>
      </w:r>
      <w:commentRangeEnd w:id="31"/>
      <w:r>
        <w:commentReference w:id="31"/>
      </w:r>
    </w:p>
    <w:p>
      <w:pPr>
        <w:keepNext/>
        <w:spacing w:after="120" w:before="0" w:line="250" w:lineRule="auto"/>
      </w:pPr>
      <w:r>
        <w:rPr>
          <w:rFonts w:ascii="Instrument Sans" w:cs="Instrument Sans" w:eastAsia="Instrument Sans" w:hAnsi="Instrument Sans"/>
          <w:color w:val="4A5E53"/>
          <w:sz w:val="16"/>
          <w:szCs w:val="16"/>
        </w:rPr>
        <w:t xml:space="preserve">300,000 members, half of them insured: 150,000 insured adults paying AED 450M in premiums. The July plan takes 0.5-1.5% of policyholders claiming each year, from comparable legal expenses insurance markets. Each claim is assumed to use the full cover, less the deductible: AED 130,000.</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2200"/>
        <w:gridCol w:w="2400"/>
        <w:gridCol w:w="2400"/>
        <w:gridCol w:w="2412"/>
      </w:tblGrid>
      <w:tr>
        <w:trPr>
          <w:cantSplit/>
          <w:tblHeader/>
        </w:trPr>
        <w:tc>
          <w:tcPr>
            <w:tcW w:type="dxa" w:w="22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4A5E53"/>
                <w:sz w:val="16"/>
                <w:szCs w:val="16"/>
              </w:rPr>
              <w:t xml:space="preserve">Claims case</w:t>
            </w:r>
          </w:p>
        </w:tc>
        <w:tc>
          <w:tcPr>
            <w:tcW w:type="dxa" w:w="24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Claims a year</w:t>
            </w:r>
          </w:p>
        </w:tc>
        <w:tc>
          <w:tcPr>
            <w:tcW w:type="dxa" w:w="2400"/>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Claims cost (AED M)</w:t>
            </w:r>
          </w:p>
        </w:tc>
        <w:tc>
          <w:tcPr>
            <w:tcW w:type="dxa" w:w="2412"/>
            <w:tcBorders>
              <w:top w:val="none" w:color="FFFFFF" w:sz="0"/>
              <w:left w:val="none" w:color="FFFFFF" w:sz="0"/>
              <w:bottom w:val="single" w:color="AFC1B5" w:sz="6"/>
              <w:right w:val="none" w:color="FFFFFF" w:sz="0"/>
            </w:tcBorders>
            <w:shd w:fill="DCEAE0" w:color="auto" w:val="clear"/>
            <w:tcMar>
              <w:top w:type="dxa" w:w="70"/>
              <w:left w:type="dxa" w:w="110"/>
              <w:bottom w:type="dxa" w:w="70"/>
              <w:right w:type="dxa" w:w="110"/>
            </w:tcMar>
            <w:vAlign w:val="top"/>
          </w:tcPr>
          <w:p>
            <w:pPr>
              <w:keepNext/>
              <w:spacing w:after="0" w:before="0" w:line="235" w:lineRule="auto"/>
              <w:jc w:val="right"/>
            </w:pPr>
            <w:r>
              <w:rPr>
                <w:rFonts w:ascii="Instrument Sans SemiBold" w:cs="Instrument Sans SemiBold" w:eastAsia="Instrument Sans SemiBold" w:hAnsi="Instrument Sans SemiBold"/>
                <w:color w:val="4A5E53"/>
                <w:sz w:val="16"/>
                <w:szCs w:val="16"/>
              </w:rPr>
              <w:t xml:space="preserve">Insurer’s result (AED M)</w:t>
            </w:r>
          </w:p>
        </w:tc>
      </w:tr>
      <w:tr>
        <w:trPr>
          <w:cantSplit/>
        </w:trPr>
        <w:tc>
          <w:tcPr>
            <w:tcW w:type="dxa" w:w="22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Low (0.5%)</w:t>
            </w:r>
          </w:p>
        </w:tc>
        <w:tc>
          <w:tcPr>
            <w:tcW w:type="dxa" w:w="2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750</w:t>
            </w:r>
          </w:p>
        </w:tc>
        <w:tc>
          <w:tcPr>
            <w:tcW w:type="dxa" w:w="2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97.5</w:t>
            </w:r>
          </w:p>
        </w:tc>
        <w:tc>
          <w:tcPr>
            <w:tcW w:type="dxa" w:w="2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352.5</w:t>
            </w:r>
          </w:p>
        </w:tc>
      </w:tr>
      <w:tr>
        <w:trPr>
          <w:cantSplit/>
        </w:trPr>
        <w:tc>
          <w:tcPr>
            <w:tcW w:type="dxa" w:w="22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Base (1.0%)</w:t>
            </w:r>
          </w:p>
        </w:tc>
        <w:tc>
          <w:tcPr>
            <w:tcW w:type="dxa" w:w="24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1,500</w:t>
            </w:r>
          </w:p>
        </w:tc>
        <w:tc>
          <w:tcPr>
            <w:tcW w:type="dxa" w:w="24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195.0</w:t>
            </w:r>
          </w:p>
        </w:tc>
        <w:tc>
          <w:tcPr>
            <w:tcW w:type="dxa" w:w="24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255.0</w:t>
            </w:r>
          </w:p>
        </w:tc>
      </w:tr>
      <w:tr>
        <w:trPr>
          <w:cantSplit/>
        </w:trPr>
        <w:tc>
          <w:tcPr>
            <w:tcW w:type="dxa" w:w="22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High (1.5%)</w:t>
            </w:r>
          </w:p>
        </w:tc>
        <w:tc>
          <w:tcPr>
            <w:tcW w:type="dxa" w:w="2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2,250</w:t>
            </w:r>
          </w:p>
        </w:tc>
        <w:tc>
          <w:tcPr>
            <w:tcW w:type="dxa" w:w="24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292.5</w:t>
            </w:r>
          </w:p>
        </w:tc>
        <w:tc>
          <w:tcPr>
            <w:tcW w:type="dxa" w:w="24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jc w:val="right"/>
            </w:pPr>
            <w:r>
              <w:rPr>
                <w:rFonts w:ascii="Instrument Sans" w:cs="Instrument Sans" w:eastAsia="Instrument Sans" w:hAnsi="Instrument Sans"/>
                <w:color w:val="13261D"/>
                <w:sz w:val="18"/>
                <w:szCs w:val="18"/>
              </w:rPr>
              <w:t xml:space="preserve">157.5</w:t>
            </w:r>
          </w:p>
        </w:tc>
      </w:tr>
    </w:tbl>
    <w:p>
      <w:pPr>
        <w:spacing w:after="120" w:before="0" w:line="120" w:lineRule="auto"/>
      </w:pPr>
    </w:p>
    <w:p>
      <w:pPr>
        <w:pStyle w:val="Heading2"/>
        <w:keepNext/>
      </w:pPr>
      <w:r>
        <w:rPr>
          <w:rFonts w:ascii="Instrument Sans SemiBold" w:cs="Instrument Sans SemiBold" w:eastAsia="Instrument Sans SemiBold" w:hAnsi="Instrument Sans SemiBold"/>
          <w:color w:val="13261D"/>
          <w:sz w:val="21"/>
          <w:szCs w:val="21"/>
        </w:rPr>
        <w:t xml:space="preserve">Country roll-out</w:t>
      </w:r>
    </w:p>
    <w:tbl>
      <w:tblPr>
        <w:tblW w:type="dxa" w:w="9412"/>
        <w:tblBorders>
          <w:top w:val="single" w:color="AFC1B5" w:sz="6"/>
          <w:left w:val="none" w:color="FFFFFF" w:sz="0"/>
          <w:bottom w:val="single" w:color="AFC1B5" w:sz="6"/>
          <w:right w:val="none" w:color="FFFFFF" w:sz="0"/>
          <w:insideH w:val="none" w:color="FFFFFF" w:sz="0"/>
          <w:insideV w:val="none" w:color="FFFFFF" w:sz="0"/>
        </w:tblBorders>
        <w:tblLayout w:type="fixed"/>
      </w:tblPr>
      <w:tblGrid>
        <w:gridCol w:w="1500"/>
        <w:gridCol w:w="7912"/>
      </w:tblGrid>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1</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UAE</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2</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Saudi Arabia, Qatar, Oman, Bahrain</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3</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India, China; South America, Mexico and Europe, timing to be set</w:t>
            </w:r>
          </w:p>
        </w:tc>
      </w:tr>
      <w:tr>
        <w:trPr>
          <w:cantSplit/>
        </w:trPr>
        <w:tc>
          <w:tcPr>
            <w:tcW w:type="dxa" w:w="1500"/>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4</w:t>
            </w:r>
          </w:p>
        </w:tc>
        <w:tc>
          <w:tcPr>
            <w:tcW w:type="dxa" w:w="7912"/>
            <w:tcBorders>
              <w:top w:val="none" w:color="FFFFFF" w:sz="0"/>
              <w:left w:val="none" w:color="FFFFFF" w:sz="0"/>
              <w:bottom w:val="single" w:color="D3DDD6" w:sz="4"/>
              <w:right w:val="none" w:color="FFFFFF" w:sz="0"/>
            </w:tcBorders>
            <w:shd w:fill="F2F6F2" w:color="auto" w:val="clear"/>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Pakistan, Thailand, Indonesia, Malaysia</w:t>
            </w:r>
          </w:p>
        </w:tc>
      </w:tr>
      <w:tr>
        <w:trPr>
          <w:cantSplit/>
        </w:trPr>
        <w:tc>
          <w:tcPr>
            <w:tcW w:type="dxa" w:w="1500"/>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SemiBold" w:cs="Instrument Sans SemiBold" w:eastAsia="Instrument Sans SemiBold" w:hAnsi="Instrument Sans SemiBold"/>
                <w:color w:val="13261D"/>
                <w:sz w:val="18"/>
                <w:szCs w:val="18"/>
              </w:rPr>
              <w:t xml:space="preserve">Year 5</w:t>
            </w:r>
          </w:p>
        </w:tc>
        <w:tc>
          <w:tcPr>
            <w:tcW w:type="dxa" w:w="7912"/>
            <w:tcBorders>
              <w:top w:val="none" w:color="FFFFFF" w:sz="0"/>
              <w:left w:val="none" w:color="FFFFFF" w:sz="0"/>
              <w:bottom w:val="single" w:color="D3DDD6" w:sz="4"/>
              <w:right w:val="none" w:color="FFFFFF" w:sz="0"/>
            </w:tcBorders>
            <w:tcMar>
              <w:top w:type="dxa" w:w="70"/>
              <w:left w:type="dxa" w:w="110"/>
              <w:bottom w:type="dxa" w:w="70"/>
              <w:right w:type="dxa" w:w="110"/>
            </w:tcMar>
            <w:vAlign w:val="top"/>
          </w:tcPr>
          <w:p>
            <w:pPr>
              <w:keepNext/>
              <w:spacing w:after="0" w:before="0" w:line="235" w:lineRule="auto"/>
            </w:pPr>
            <w:r>
              <w:rPr>
                <w:rFonts w:ascii="Instrument Sans" w:cs="Instrument Sans" w:eastAsia="Instrument Sans" w:hAnsi="Instrument Sans"/>
                <w:color w:val="13261D"/>
                <w:sz w:val="18"/>
                <w:szCs w:val="18"/>
              </w:rPr>
              <w:t xml:space="preserve">Korea, Japan</w:t>
            </w:r>
          </w:p>
        </w:tc>
      </w:tr>
    </w:tbl>
    <w:sectPr>
      <w:footerReference w:type="default" r:id="rId7"/>
      <w:pgSz w:w="11906" w:h="16838" w:orient="portrait"/>
      <w:pgMar w:top="1134" w:right="1247" w:bottom="1134" w:left="1247"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DN" w:author="Draft note" w:date="2026-10-01T17:00:00.000Z">
    <w:p>
      <w:r>
        <w:rPr>
          <w:sz w:val="18"/>
          <w:szCs w:val="18"/>
        </w:rPr>
        <w:t xml:space="preserve">Name: the 31 July plan and deck E say “Emergency Legal Assist”; the website and the app say “Emergency Legal Assistance”. This draft follows the website. Change it here if you prefer the other.</w:t>
      </w:r>
    </w:p>
  </w:comment>
  <w:comment w:id="1" w:initials="Q" w:author="Question for Jon" w:date="2026-10-01T17:00:00.000Z">
    <w:p>
      <w:r>
        <w:rPr>
          <w:sz w:val="18"/>
          <w:szCs w:val="18"/>
        </w:rPr>
        <w:t xml:space="preserve">How did the idea start? Two or three sentences on how the concept was conceived would open the plan (Shaz’s first point). The lines below are deck E’s problem statement.</w:t>
      </w:r>
    </w:p>
  </w:comment>
  <w:comment w:id="2" w:initials="DN" w:author="Draft note" w:date="2026-10-01T17:00:00.000Z">
    <w:p>
      <w:r>
        <w:rPr>
          <w:sz w:val="18"/>
          <w:szCs w:val="18"/>
        </w:rPr>
        <w:t xml:space="preserve">The 22 September stock-take puts the Twilio setup and the law-firm contract on the critical path.</w:t>
      </w:r>
    </w:p>
  </w:comment>
  <w:comment w:id="3" w:initials="Q" w:author="Question for Jon" w:date="2026-10-01T17:00:00.000Z">
    <w:p>
      <w:r>
        <w:rPr>
          <w:sz w:val="18"/>
          <w:szCs w:val="18"/>
        </w:rPr>
        <w:t xml:space="preserve">From your messages: Howden says it has found a market that can support us, which wants to run it past its capacity provider before committing. Three things for the plan: who will be the insurer named on the policy (AIG, or a market backed by AIG)? Is Howden acting as our broker? Do the AED 3,000 premium and ELA’s 10% from the Sukoon talks carry over?</w:t>
      </w:r>
    </w:p>
    <w:p>
      <w:r>
        <w:rPr>
          <w:sz w:val="18"/>
          <w:szCs w:val="18"/>
        </w:rPr>
        <w:t xml:space="preserve">Useful context: AIG has insured this kind of benefit in the UAE before. Amex Platinum’s older terms (undated; the file is from 2022) named AIG’s Dubai branch (American Home Assurance Company) for the card’s benefit that appoints a lawyer and advances bail when a cardmember is jailed on a trip; the current wording (March 2026) names Liva Insurance.</w:t>
      </w:r>
    </w:p>
  </w:comment>
  <w:comment w:id="4" w:initials="Q" w:author="Question for Jon" w:date="2026-10-01T17:00:00.000Z">
    <w:p>
      <w:r>
        <w:rPr>
          <w:sz w:val="18"/>
          <w:szCs w:val="18"/>
        </w:rPr>
        <w:t xml:space="preserve">From Stevan (1 October): ELA launches under Murrayfield Law’s entity and sets up its own company later, and you are handling that. Still open: which entity holds the App Store organisation account? It needs a D-U-N-S number and has to be in place before launch.</w:t>
      </w:r>
    </w:p>
  </w:comment>
  <w:comment w:id="5" w:initials="Q" w:author="Question for Jon" w:date="2026-10-01T17:00:00.000Z">
    <w:p>
      <w:r>
        <w:rPr>
          <w:sz w:val="18"/>
          <w:szCs w:val="18"/>
        </w:rPr>
        <w:t xml:space="preserve">Member mix: what split of weekly, monthly and annual members should the plan assume, and how many seats will be sold to companies by contract? Contract seats skip Apple’s commission.</w:t>
      </w:r>
    </w:p>
  </w:comment>
  <w:comment w:id="6" w:initials="Q" w:author="Question for Jon" w:date="2026-10-01T17:00:00.000Z">
    <w:p>
      <w:r>
        <w:rPr>
          <w:sz w:val="18"/>
          <w:szCs w:val="18"/>
        </w:rPr>
        <w:t xml:space="preserve">Insurance commission: Stevan’s understanding (1 October) is that ELA gets 10% of the premium from members who take the insurance add-on, as in your 9 September teaser. Please confirm it holds with Howden and AIG, and whether the insurer pays it or it comes through Howden as broker.</w:t>
      </w:r>
    </w:p>
  </w:comment>
  <w:comment w:id="7" w:initials="DN" w:author="Draft note" w:date="2026-10-01T17:00:00.000Z">
    <w:p>
      <w:r>
        <w:rPr>
          <w:sz w:val="18"/>
          <w:szCs w:val="18"/>
        </w:rPr>
        <w:t xml:space="preserve">Legal risk found by the 1 October scan and checked at source (Ministry of Justice copy): Federal Decree-Law 34 of 2022 on the legal profession, Article 101, fines “any person who attempts, in consideration of a commission, to entice clients in favor of any lawyer” AED 20,000 to 200,000, and at least a year in prison for a repeat offence. Article 45(1)(h) also bars lawyers from promotion “by intermediaries”. A per-case commission from the firm may fall inside this. Options to check with counsel: a flat panel fee, member-paid revenue only, or a structure Jon is confident in. Jon, as a lawyer, may already know the answer.</w:t>
      </w:r>
    </w:p>
  </w:comment>
  <w:comment w:id="8" w:initials="DN" w:author="Draft note" w:date="2026-10-01T17:00:00.000Z">
    <w:p>
      <w:r>
        <w:rPr>
          <w:sz w:val="18"/>
          <w:szCs w:val="18"/>
        </w:rPr>
        <w:t xml:space="preserve">Source: developer.apple.com (Subscriptions; Small Business Program), checked 1 October 2026. Two separate rules. 1) Every subscription: Apple keeps 30% until that member has a year of paid service, then 15%, whatever our size. 2) Small Business Program: 15% on everything, first-year members included, but only while our proceeds stay under USD 1 million in a calendar year (and the year before). Past USD 1 million, which is about 6,000 annual members, rule 1 applies for the rest of that year and the next. So at the plan’s volumes: 30% for each member’s first year, 15% after.</w:t>
      </w:r>
    </w:p>
  </w:comment>
  <w:comment w:id="9" w:initials="DN" w:author="Draft note" w:date="2026-10-01T17:00:00.000Z">
    <w:p>
      <w:r>
        <w:rPr>
          <w:sz w:val="18"/>
          <w:szCs w:val="18"/>
        </w:rPr>
        <w:t xml:space="preserve">The 31 July list also has “Schn”. Schneider Electric?</w:t>
      </w:r>
    </w:p>
  </w:comment>
  <w:comment w:id="10" w:initials="DN" w:author="Draft note" w:date="2026-10-01T17:00:00.000Z">
    <w:p>
      <w:r>
        <w:rPr>
          <w:sz w:val="18"/>
          <w:szCs w:val="18"/>
        </w:rPr>
        <w:t xml:space="preserve">Checked 1 October 2026: Legal Cover’s terms (https://legalcover.ae/terms-and-conditions/, updated 24 August 2026) say its legal work is provided through partners “including MIO &amp; Partners”, where Ahmed Odeh is Managing Partner. He promoted Legal Cover on TikTok in May 2025.</w:t>
      </w:r>
    </w:p>
  </w:comment>
  <w:comment w:id="11" w:initials="DN" w:author="Draft note" w:date="2026-10-01T17:00:00.000Z">
    <w:p>
      <w:r>
        <w:rPr>
          <w:sz w:val="18"/>
          <w:szCs w:val="18"/>
        </w:rPr>
        <w:t xml:space="preserve">Each case assumes every member pays for the whole of year one. Members will join through the year, so real year-one revenue will be lower; a monthly ramp would fix this once Jon settles the cases.</w:t>
      </w:r>
    </w:p>
  </w:comment>
  <w:comment w:id="12" w:initials="Q" w:author="Question for Jon" w:date="2026-10-01T17:00:00.000Z">
    <w:p>
      <w:r>
        <w:rPr>
          <w:sz w:val="18"/>
          <w:szCs w:val="18"/>
        </w:rPr>
        <w:t xml:space="preserve">Subscriber cases: keep 100,000, 300,000 and 500,000 for year one, or revise? The advisers on the 10 August call thought 300,000 was high, and your 28 July notes suggested 7,000, 20,000 and 45,000.</w:t>
      </w:r>
    </w:p>
  </w:comment>
  <w:comment w:id="13" w:initials="DN" w:author="Draft note" w:date="2026-10-01T17:00:00.000Z">
    <w:p>
      <w:r>
        <w:rPr>
          <w:sz w:val="18"/>
          <w:szCs w:val="18"/>
        </w:rPr>
        <w:t xml:space="preserve">The 31 July plan’s litigation-fee rows mirrored its insurance rows in reverse (7.5M, 105M, 202.5M), which looks like a spreadsheet slip. This row uses Jon’s own claims model instead: 1% of insured members claim each year, each claim uses the AED 100,000 legal-fee cover, and ELA earns 10% of those fees. It leaves out fees paid by members without insurance. Jon to confirm. Also see the legal risk on this line in section 8.</w:t>
      </w:r>
    </w:p>
  </w:comment>
  <w:comment w:id="14" w:initials="Q" w:author="Question for Jon" w:date="2026-10-01T17:00:00.000Z">
    <w:p>
      <w:r>
        <w:rPr>
          <w:sz w:val="18"/>
          <w:szCs w:val="18"/>
        </w:rPr>
        <w:t xml:space="preserve">Budget lines, answered by Stevan (1 October): Helios AI is an agency on contract that may take on marketing work. Board fees are AED 10,000 a month each for four board members: you, Stevan, and possibly Shaz and Andrew. Please confirm.</w:t>
      </w:r>
    </w:p>
  </w:comment>
  <w:comment w:id="15" w:initials="DN" w:author="Draft note" w:date="2026-10-01T17:00:00.000Z">
    <w:p>
      <w:r>
        <w:rPr>
          <w:sz w:val="18"/>
          <w:szCs w:val="18"/>
        </w:rPr>
        <w:t xml:space="preserve">This is the 24/7 operations desk in section 6. AED 140,000 a year is about AED 11,700 a month: enough for a shared answering service, not for a desk that runs cases around the clock. One seat staffed 24/7 needs about five trained agents (168 hours a week over 40, plus cover for leave and sickness). Proposed update: get two quotes and resize this line; see the proposed updates note.</w:t>
      </w:r>
    </w:p>
  </w:comment>
  <w:comment w:id="16" w:initials="DN" w:author="Draft note" w:date="2026-10-01T17:00:00.000Z">
    <w:p>
      <w:r>
        <w:rPr>
          <w:sz w:val="18"/>
          <w:szCs w:val="18"/>
        </w:rPr>
        <w:t xml:space="preserve">This line is the development partner’s envelope. Stevan’s basis: three people at Eastern European rates of about EUR 40,000 a year each, which is EUR 120,000 or about AED 500,000 at EUR 1 = AED 4.15 (ECB, 1 October 2026), leaving about AED 100,000 of headroom. It covers 12 months. The build-up is in the financial model, and the dev-partner question is in section 6.</w:t>
      </w:r>
    </w:p>
  </w:comment>
  <w:comment w:id="17" w:initials="DN" w:author="Draft note" w:date="2026-10-01T17:00:00.000Z">
    <w:p>
      <w:r>
        <w:rPr>
          <w:sz w:val="18"/>
          <w:szCs w:val="18"/>
        </w:rPr>
        <w:t xml:space="preserve">Stevan’s basis (2 October): three people at about EUR 40,000 a year each, which is about AED 500,000 at EUR 1 = AED 4.15. At that rate the team above costs about AED 405,000 with the second engineer from month 4, or about AED 281,000 without. Either way the line has headroom for agency rates above EUR 40,000. The workings are in the financial model.</w:t>
      </w:r>
    </w:p>
  </w:comment>
  <w:comment w:id="18" w:initials="Q" w:author="Question for Jon" w:date="2026-10-01T17:00:00.000Z">
    <w:p>
      <w:r>
        <w:rPr>
          <w:sz w:val="18"/>
          <w:szCs w:val="18"/>
        </w:rPr>
        <w:t xml:space="preserve">One-line bio for the plan, if you want bios in it. (Stevan has none for Andrew or Anna yet, so the chart shows names and roles only.)</w:t>
      </w:r>
    </w:p>
  </w:comment>
  <w:comment w:id="19" w:initials="OI" w:author="Open item" w:date="2026-10-01T17:00:00.000Z">
    <w:p>
      <w:r>
        <w:rPr>
          <w:sz w:val="18"/>
          <w:szCs w:val="18"/>
        </w:rPr>
        <w:t xml:space="preserve">One-line bio, if the plan carries bios.</w:t>
      </w:r>
    </w:p>
  </w:comment>
  <w:comment w:id="20" w:initials="OI" w:author="Open item" w:date="2026-10-01T17:00:00.000Z">
    <w:p>
      <w:r>
        <w:rPr>
          <w:sz w:val="18"/>
          <w:szCs w:val="18"/>
        </w:rPr>
        <w:t xml:space="preserve">Your one-line bio. Should it mention CurrencyTransfer.com and PayPlexo?</w:t>
      </w:r>
    </w:p>
  </w:comment>
  <w:comment w:id="21" w:initials="Q" w:author="Question for Jon" w:date="2026-10-01T17:00:00.000Z">
    <w:p>
      <w:r>
        <w:rPr>
          <w:sz w:val="18"/>
          <w:szCs w:val="18"/>
        </w:rPr>
        <w:t xml:space="preserve">Dev partner: which structure goes in the plan? Stevan’s 600k envelope from the 15 August scope (part cash, part equity), or the 1.91M in-kind contribution in your 19 August document? No quote has come back since 15 August, and four due-diligence checks are still open. The firm is not named here on purpose.</w:t>
      </w:r>
    </w:p>
  </w:comment>
  <w:comment w:id="22" w:initials="OI" w:author="Open item" w:date="2026-10-01T17:00:00.000Z">
    <w:p>
      <w:r>
        <w:rPr>
          <w:sz w:val="18"/>
          <w:szCs w:val="18"/>
        </w:rPr>
        <w:t xml:space="preserve">Method: 75 days of recorded ELA work (commits in the app and film repos, and Claude session prompts) in 21 of the 22 weeks since 7 May; 46 of those days ran 6 hours or more. Summing each day’s first-to-last activity gives 580-640 hours; tighter session gaps give 370-470. Calls, device testing and App Store work leave no record.</w:t>
      </w:r>
    </w:p>
    <w:p>
      <w:r>
        <w:rPr>
          <w:sz w:val="18"/>
          <w:szCs w:val="18"/>
        </w:rPr>
        <w:t xml:space="preserve">Value: the hours at your salary rate (salary over 2,080 working hours a year), converted at £1 = AED 4.86 (ECB reference rates, 1 October 2026, through the dirham’s dollar peg of 3.6725). The salary itself stays out of the document.</w:t>
      </w:r>
    </w:p>
  </w:comment>
  <w:comment w:id="23" w:initials="Q" w:author="Question for Jon" w:date="2026-10-01T17:00:00.000Z">
    <w:p>
      <w:r>
        <w:rPr>
          <w:sz w:val="18"/>
          <w:szCs w:val="18"/>
        </w:rPr>
        <w:t xml:space="preserve">Your time: we would like to count your time since May as sweat equity too. What value should go here? Hours at a rate you are comfortable with, or leave it out.</w:t>
      </w:r>
    </w:p>
  </w:comment>
  <w:comment w:id="24" w:initials="OI" w:author="Open item" w:date="2026-10-01T17:00:00.000Z">
    <w:p>
      <w:r>
        <w:rPr>
          <w:sz w:val="18"/>
          <w:szCs w:val="18"/>
        </w:rPr>
        <w:t xml:space="preserve">From your notes, kept high level: Claude, five accounts at USD 200 a month for half of the five months since May (USD 2,500); Codex, one account at USD 200 a month and two for a while (about USD 1,200); two servers at about £35-40 a month each since June (about £300). Still to add: the ela.now domain and the video and audio tools used for the film. The Apple developer fee (USD 99 a year) could go in too.</w:t>
      </w:r>
    </w:p>
  </w:comment>
  <w:comment w:id="25" w:initials="OI" w:author="Open item" w:date="2026-10-01T17:00:00.000Z">
    <w:p>
      <w:r>
        <w:rPr>
          <w:sz w:val="18"/>
          <w:szCs w:val="18"/>
        </w:rPr>
        <w:t xml:space="preserve">Confirm that neither founder has been paid for this time, so it can be called sweat equity.</w:t>
      </w:r>
    </w:p>
  </w:comment>
  <w:comment w:id="26" w:initials="DN" w:author="Draft note" w:date="2026-10-01T17:00:00.000Z">
    <w:p>
      <w:r>
        <w:rPr>
          <w:sz w:val="18"/>
          <w:szCs w:val="18"/>
        </w:rPr>
        <w:t xml:space="preserve">From the competitor scan of 1 October 2026 (one Opus 5.5 run with seven research agents; the full report with links is research/competitors.md). Every claim in this table was re-checked at source on 1 October: legalcover.ae (personal plans, terms, contact page); lawyers.bh/en/sos and /en/about; alarabi.law (criminal law page); Sukoon Travel Easy terms (PDF on sukoon.com); Amex Platinum UAE policy wording (March 2026 PDF, linked from americanexpress.ae); GOV.UK “Arrested or in prison in the UAE”; US State Department UAE page (Wayback copy, 9 July 2026); Federal Decree-Law 34 of 2022 on the legal profession (Ministry of Justice copy); Apple Support (Emergency SOS on iPhone); International SOS (UAE page and its published service list); LegalShield FAQ (Wayback copy, 27 August 2026). Legal Cover’s terms name MIO &amp; Partners, Ahmed Odeh’s firm, as a partner firm.</w:t>
      </w:r>
    </w:p>
  </w:comment>
  <w:comment w:id="27" w:initials="DN" w:author="Draft note" w:date="2026-10-01T17:00:00.000Z">
    <w:p>
      <w:r>
        <w:rPr>
          <w:sz w:val="18"/>
          <w:szCs w:val="18"/>
        </w:rPr>
        <w:t xml:space="preserve">From the scan’s UAE and Gulf research agent: no prepaid membership where one button alerts a lawyer, the consulate and a trusted contact was found in the UAE, Saudi Arabia, Qatar, Kuwait, Bahrain or Oman. Limits: English-language searches; the agent ran out of web searches before Arabic searches for Saudi Arabia and Kuwait. Worth a native-speaker check before an investor reads this as settled.</w:t>
      </w:r>
    </w:p>
  </w:comment>
  <w:comment w:id="28" w:initials="DN" w:author="Draft note" w:date="2026-10-01T17:00:00.000Z">
    <w:p>
      <w:r>
        <w:rPr>
          <w:sz w:val="18"/>
          <w:szCs w:val="18"/>
        </w:rPr>
        <w:t xml:space="preserve">Federal Decree-Law 34 of 2022 regulating the legal profession, Article 101 (fine AED 20,000 to 200,000; at least a year in prison for a repeat offence) and Article 45(1)(h). Checked at source, Ministry of Justice copy, 1 October 2026.</w:t>
      </w:r>
    </w:p>
  </w:comment>
  <w:comment w:id="29" w:initials="DN" w:author="Draft note" w:date="2026-10-01T17:00:00.000Z">
    <w:p>
      <w:r>
        <w:rPr>
          <w:sz w:val="18"/>
          <w:szCs w:val="18"/>
        </w:rPr>
        <w:t xml:space="preserve">From Stevan’s 28 July review. The scan also points to the Central Bank’s licensed financial activities, which include promoting and marketing insurance (Decree-Law 6/2025, Art. 61); checked at source on 2 October: Art. 61(1)(h) read with (j). Howden, as a licensed broker, may be the answer.</w:t>
      </w:r>
    </w:p>
  </w:comment>
  <w:comment w:id="30" w:initials="Q" w:author="Question for Jon" w:date="2026-10-01T17:00:00.000Z">
    <w:p>
      <w:r>
        <w:rPr>
          <w:sz w:val="18"/>
          <w:szCs w:val="18"/>
        </w:rPr>
        <w:t xml:space="preserve">The raise: is it still AED 7M, and in what form (equity, convertible, other)? Any view on an extended raise or an exit? The plan only includes them if you have a view.</w:t>
      </w:r>
    </w:p>
  </w:comment>
  <w:comment w:id="31" w:initials="DN" w:author="Draft note" w:date="2026-10-01T17:00:00.000Z">
    <w:p>
      <w:r>
        <w:rPr>
          <w:sz w:val="18"/>
          <w:szCs w:val="18"/>
        </w:rPr>
        <w:t xml:space="preserve">Premium updated from the 31 July plan’s placeholder of 2,000 to 3,000 per adult, so the base-case premium pool is AED 450M (it was 300M). The 3,000 came from the Sukoon talks; to confirm with Howden and AIG. Claim frequency and cover per claim are the 31 July plan’s.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nstrument Sans">
    <w:family w:val="auto"/>
    <w:pitch w:val="variable"/>
    <w:sig w:usb0="E0002AFF" w:usb1="C000247B" w:usb2="00000009" w:usb3="00000000" w:csb0="000001FF" w:csb1="00000000"/>
    <w:embedRegular r:id="rId1" w:fontKey="{67252E69-67DC-F2F9-1CFA-3F645FF2AC18}"/>
  </w:font>
  <w:font w:name="Instrument Sans SemiBold">
    <w:family w:val="auto"/>
    <w:pitch w:val="variable"/>
    <w:sig w:usb0="E0002AFF" w:usb1="C000247B" w:usb2="00000009" w:usb3="00000000" w:csb0="000001FF" w:csb1="00000000"/>
    <w:embedRegular r:id="rId2" w:fontKey="{02F3F637-C03B-BB08-1AB0-BA5FA6142393}"/>
  </w:font>
  <w:font w:name="Bricolage Grotesque SemiBold">
    <w:family w:val="auto"/>
    <w:pitch w:val="variable"/>
    <w:sig w:usb0="E0002AFF" w:usb1="C000247B" w:usb2="00000009" w:usb3="00000000" w:csb0="000001FF" w:csb1="00000000"/>
    <w:embedRegular r:id="rId3" w:fontKey="{2986B014-BAA1-481F-2C07-D87B3751308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ELAFooter"/>
      <w:pBdr>
        <w:top w:val="single" w:color="D3DDD6" w:sz="4" w:space="6"/>
      </w:pBdr>
      <w:tabs>
        <w:tab w:val="right" w:pos="9412"/>
      </w:tabs>
      <w:spacing w:after="0" w:before="0"/>
      <w:jc w:val="left"/>
    </w:pPr>
    <w:r>
      <w:rPr>
        <w:color w:val="627469"/>
        <w:sz w:val="15"/>
        <w:szCs w:val="15"/>
      </w:rPr>
      <w:t xml:space="preserve">ELA business plan  ·  Draft for review, 2 October 2026  ·  Confidential</w:t>
    </w:r>
    <w:r>
      <w:rPr>
        <w:sz w:val="15"/>
        <w:szCs w:val="15"/>
      </w:rPr>
      <w:t xml:space="preserve">	</w:t>
    </w:r>
    <w:r>
      <w:rPr>
        <w:color w:val="627469"/>
        <w:sz w:val="15"/>
        <w:szCs w:val="15"/>
      </w:rPr>
      <w:t xml:space="preserve">Page </w:t>
    </w:r>
    <w:r>
      <w:rPr>
        <w:color w:val="627469"/>
        <w:sz w:val="15"/>
        <w:szCs w:val="15"/>
      </w:rPr>
      <w:fldChar w:fldCharType="begin"/>
      <w:instrText xml:space="preserve">PAGE</w:instrText>
      <w:fldChar w:fldCharType="separate"/>
      <w:fldChar w:fldCharType="end"/>
    </w:r>
    <w:r>
      <w:rPr>
        <w:color w:val="627469"/>
        <w:sz w:val="15"/>
        <w:szCs w:val="15"/>
      </w:rPr>
      <w:t xml:space="preserve"> of </w:t>
    </w:r>
    <w:r>
      <w:rPr>
        <w:color w:val="627469"/>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20"/>
      </w:pPr>
      <w:rPr>
        <w:rFonts w:ascii="Instrument Sans" w:cs="Instrument Sans" w:eastAsia="Instrument Sans" w:hAnsi="Instrument Sans"/>
        <w:color w:val="0E8F5C"/>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strument Sans" w:cs="Instrument Sans" w:eastAsia="Instrument Sans" w:hAnsi="Instrument Sans"/>
        <w:color w:val="13261D"/>
        <w:sz w:val="20"/>
        <w:szCs w:val="20"/>
        <w:lang w:val="en-GB"/>
      </w:rPr>
    </w:rPrDefault>
    <w:pPrDefault>
      <w:pPr>
        <w:spacing w:after="100" w:line="250"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keepLines/>
      <w:spacing w:after="140" w:before="420"/>
    </w:pPr>
    <w:rPr>
      <w:rFonts w:ascii="Bricolage Grotesque SemiBold" w:cs="Bricolage Grotesque SemiBold" w:eastAsia="Bricolage Grotesque SemiBold" w:hAnsi="Bricolage Grotesque SemiBold"/>
      <w:color w:val="13261D"/>
      <w:sz w:val="30"/>
      <w:szCs w:val="30"/>
    </w:rPr>
  </w:style>
  <w:style w:type="paragraph" w:styleId="Heading2">
    <w:name w:val="Heading 2"/>
    <w:basedOn w:val="Normal"/>
    <w:next w:val="Normal"/>
    <w:qFormat/>
    <w:pPr>
      <w:keepNext/>
      <w:spacing w:after="90" w:before="200"/>
    </w:pPr>
    <w:rPr>
      <w:rFonts w:ascii="Instrument Sans SemiBold" w:cs="Instrument Sans SemiBold" w:eastAsia="Instrument Sans SemiBold" w:hAnsi="Instrument Sans SemiBold"/>
      <w:color w:val="13261D"/>
      <w:sz w:val="21"/>
      <w:szCs w:val="21"/>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LAFooter">
    <w:name w:val="ELA Footer"/>
    <w:basedOn w:val="Normal"/>
    <w:rPr>
      <w:color w:val="627469"/>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f64c1ffb9080891621a92d14937081f814d86878.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 business plan</dc:title>
  <dc:subject>Draft for review, 2 October 2026</dc:subject>
  <dc:creator>ELA</dc:creator>
  <dc:description>ELA business plan, restructured from the 31 July 2026 plan. Draft for review.</dc:description>
  <cp:lastModifiedBy>ELA</cp:lastModifiedBy>
  <cp:revision>1</cp:revision>
  <dcterms:created xsi:type="dcterms:W3CDTF">2026-10-02T09:33:15.835Z</dcterms:created>
  <dcterms:modified xsi:type="dcterms:W3CDTF">2026-10-02T09:33:15.835Z</dcterms:modified>
</cp:coreProperties>
</file>

<file path=docProps/custom.xml><?xml version="1.0" encoding="utf-8"?>
<Properties xmlns="http://schemas.openxmlformats.org/officeDocument/2006/custom-properties" xmlns:vt="http://schemas.openxmlformats.org/officeDocument/2006/docPropsVTypes"/>
</file>