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line="240" w:lineRule="auto"/>
      </w:pPr>
      <w:r>
        <w:drawing>
          <wp:inline distT="0" distB="0" distL="0" distR="0">
            <wp:extent cx="381000" cy="381000"/>
            <wp:effectExtent t="0" r="0" b="0" l="0"/>
            <wp:docPr id="1" name="ELA icon" descr="ELA app icon" title="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 cy="381000"/>
                    </a:xfrm>
                    <a:prstGeom prst="rect">
                      <a:avLst/>
                    </a:prstGeom>
                  </pic:spPr>
                </pic:pic>
              </a:graphicData>
            </a:graphic>
          </wp:inline>
        </w:drawing>
      </w:r>
    </w:p>
    <w:p>
      <w:pPr>
        <w:spacing w:after="60" w:line="240" w:lineRule="auto"/>
      </w:pPr>
      <w:r>
        <w:rPr>
          <w:rFonts w:ascii="Bricolage Grotesque SemiBold" w:cs="Bricolage Grotesque SemiBold" w:eastAsia="Bricolage Grotesque SemiBold" w:hAnsi="Bricolage Grotesque SemiBold"/>
          <w:color w:val="13261D"/>
          <w:sz w:val="50"/>
          <w:szCs w:val="50"/>
        </w:rPr>
        <w:t xml:space="preserve">ELA business plan</w:t>
      </w:r>
    </w:p>
    <w:p>
      <w:pPr>
        <w:pBdr>
          <w:bottom w:val="single" w:color="0E8F5C" w:sz="12" w:space="10"/>
        </w:pBdr>
        <w:spacing w:after="80"/>
      </w:pPr>
      <w:commentRangeStart w:id="0"/>
      <w:r>
        <w:rPr>
          <w:rFonts w:ascii="Instrument Sans" w:cs="Instrument Sans" w:eastAsia="Instrument Sans" w:hAnsi="Instrument Sans"/>
          <w:color w:val="4A5E53"/>
          <w:sz w:val="21"/>
          <w:szCs w:val="21"/>
        </w:rPr>
        <w:t xml:space="preserve">Emergency Legal Assistance</w:t>
      </w:r>
      <w:commentRangeEnd w:id="0"/>
      <w:r>
        <w:commentReference w:id="0"/>
      </w:r>
      <w:r>
        <w:rPr>
          <w:rFonts w:ascii="Instrument Sans" w:cs="Instrument Sans" w:eastAsia="Instrument Sans" w:hAnsi="Instrument Sans"/>
          <w:color w:val="4A5E53"/>
          <w:sz w:val="21"/>
          <w:szCs w:val="21"/>
        </w:rPr>
        <w:t xml:space="preserve">  ·  Draft for review, 7 October 2026  ·  Confidential</w:t>
      </w:r>
    </w:p>
    <w:p>
      <w:pPr>
        <w:spacing w:after="80" w:before="0" w:line="120" w:lineRule="auto"/>
      </w:pP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1</w:t>
      </w:r>
      <w:r>
        <w:rPr>
          <w:rFonts w:ascii="Bricolage Grotesque SemiBold" w:cs="Bricolage Grotesque SemiBold" w:eastAsia="Bricolage Grotesque SemiBold" w:hAnsi="Bricolage Grotesque SemiBold"/>
          <w:color w:val="13261D"/>
          <w:sz w:val="30"/>
          <w:szCs w:val="30"/>
        </w:rPr>
        <w:t xml:space="preserve">   Executive summary</w:t>
      </w:r>
    </w:p>
    <w:p>
      <w:pPr>
        <w:spacing w:after="100" w:before="0" w:line="250" w:lineRule="auto"/>
      </w:pPr>
      <w:commentRangeStart w:id="1"/>
      <w:r>
        <w:rPr>
          <w:rFonts w:ascii="Instrument Sans" w:cs="Instrument Sans" w:eastAsia="Instrument Sans" w:hAnsi="Instrument Sans"/>
          <w:color w:val="13261D"/>
          <w:sz w:val="20"/>
          <w:szCs w:val="20"/>
        </w:rPr>
        <w:t xml:space="preserve">The UAE runs on people who were not born here. They came to build careers and families. When one of them is arrested or detained, the first hour has a simple problem: no lawyer is coming, the consulate has not been told, and the family is waiting for a call.</w:t>
      </w:r>
      <w:commentRangeEnd w:id="1"/>
      <w:r>
        <w:commentReference w:id="1"/>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What ELA is.</w:t>
      </w:r>
      <w:r>
        <w:rPr>
          <w:rFonts w:ascii="Instrument Sans" w:cs="Instrument Sans" w:eastAsia="Instrument Sans" w:hAnsi="Instrument Sans"/>
          <w:color w:val="13261D"/>
          <w:sz w:val="20"/>
          <w:szCs w:val="20"/>
        </w:rPr>
        <w:t xml:space="preserve"> A membership for UAE residents: an iPhone and Android app with an Apple Watch companion.</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How it works.</w:t>
      </w:r>
      <w:r>
        <w:rPr>
          <w:rFonts w:ascii="Instrument Sans" w:cs="Instrument Sans" w:eastAsia="Instrument Sans" w:hAnsi="Instrument Sans"/>
          <w:color w:val="13261D"/>
          <w:sz w:val="20"/>
          <w:szCs w:val="20"/>
        </w:rPr>
        <w:t xml:space="preserve"> The member holds the emergency button for three seconds. Once the hold commits, the response runs on our servers: a vetted UAE law firm takes the case, the consulate is told, a trusted contact gets a private live link, and the member’s live location goes to our response team.</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Where we are.</w:t>
      </w:r>
      <w:r>
        <w:rPr>
          <w:rFonts w:ascii="Instrument Sans" w:cs="Instrument Sans" w:eastAsia="Instrument Sans" w:hAnsi="Instrument Sans"/>
          <w:color w:val="13261D"/>
          <w:sz w:val="20"/>
          <w:szCs w:val="20"/>
        </w:rPr>
        <w:t xml:space="preserve"> Working product on TestFlight, running end to end on our production servers in test mode. About 4-6 weeks of launch work remain.</w:t>
      </w:r>
    </w:p>
    <w:p>
      <w:pPr>
        <w:pStyle w:val="ListParagraph"/>
        <w:keepLines/>
        <w:numPr>
          <w:ilvl w:val="0"/>
          <w:numId w:val="2"/>
        </w:numPr>
        <w:spacing w:after="60" w:before="0" w:line="245" w:lineRule="auto"/>
      </w:pPr>
      <w:commentRangeStart w:id="2"/>
      <w:r>
        <w:rPr>
          <w:rFonts w:ascii="Instrument Sans SemiBold" w:cs="Instrument Sans SemiBold" w:eastAsia="Instrument Sans SemiBold" w:hAnsi="Instrument Sans SemiBold"/>
          <w:color w:val="13261D"/>
          <w:sz w:val="20"/>
          <w:szCs w:val="20"/>
        </w:rPr>
        <w:t xml:space="preserve">How we earn.</w:t>
      </w:r>
      <w:r>
        <w:rPr>
          <w:rFonts w:ascii="Instrument Sans" w:cs="Instrument Sans" w:eastAsia="Instrument Sans" w:hAnsi="Instrument Sans"/>
          <w:color w:val="13261D"/>
          <w:sz w:val="20"/>
          <w:szCs w:val="20"/>
        </w:rPr>
        <w:t xml:space="preserve"> One membership through the App Store, or as company seats that employers buy by contract. An optional legal-costs insurance add-on, a referral commission on legal fees and, from year three, a membership fee from the law firms on our panel.</w:t>
      </w:r>
      <w:commentRangeEnd w:id="2"/>
      <w:r>
        <w:commentReference w:id="2"/>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The numbers.</w:t>
      </w:r>
      <w:r>
        <w:rPr>
          <w:rFonts w:ascii="Instrument Sans" w:cs="Instrument Sans" w:eastAsia="Instrument Sans" w:hAnsi="Instrument Sans"/>
          <w:color w:val="13261D"/>
          <w:sz w:val="20"/>
          <w:szCs w:val="20"/>
        </w:rPr>
        <w:t xml:space="preserve"> A monthly model in three cases (section 5) puts members at the end of year one at about 2,800 (Cautious), 11,000 (Base) and 33,000 (Upside), after paying for marketing, App Store fees, VAT, a 24/7 desk and a 15% contingency.</w:t>
      </w:r>
    </w:p>
    <w:p>
      <w:pPr>
        <w:pStyle w:val="ListParagraph"/>
        <w:keepLines/>
        <w:numPr>
          <w:ilvl w:val="0"/>
          <w:numId w:val="2"/>
        </w:numPr>
        <w:spacing w:after="160" w:before="0" w:line="245" w:lineRule="auto"/>
      </w:pPr>
      <w:r>
        <w:rPr>
          <w:rFonts w:ascii="Instrument Sans SemiBold" w:cs="Instrument Sans SemiBold" w:eastAsia="Instrument Sans SemiBold" w:hAnsi="Instrument Sans SemiBold"/>
          <w:color w:val="13261D"/>
          <w:sz w:val="20"/>
          <w:szCs w:val="20"/>
        </w:rPr>
        <w:t xml:space="preserve">The ask.</w:t>
      </w:r>
      <w:r>
        <w:rPr>
          <w:rFonts w:ascii="Instrument Sans" w:cs="Instrument Sans" w:eastAsia="Instrument Sans" w:hAnsi="Instrument Sans"/>
          <w:color w:val="13261D"/>
          <w:sz w:val="20"/>
          <w:szCs w:val="20"/>
        </w:rPr>
        <w:t xml:space="preserve"> </w:t>
      </w:r>
      <w:commentRangeStart w:id="3"/>
      <w:r>
        <w:rPr>
          <w:rFonts w:ascii="Instrument Sans" w:cs="Instrument Sans" w:eastAsia="Instrument Sans" w:hAnsi="Instrument Sans"/>
          <w:color w:val="13261D"/>
          <w:sz w:val="20"/>
          <w:szCs w:val="20"/>
        </w:rPr>
        <w:t xml:space="preserve">AED 7M (about USD 1.9M) to launch ELA and run it to profit. In the Base case the business makes a monthly profit from month 9 and cash never falls below AED 5.2M. In the Cautious case the raise lasts 14 months (section 9).</w:t>
      </w:r>
      <w:commentRangeEnd w:id="3"/>
      <w:r>
        <w:commentReference w:id="3"/>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2</w:t>
      </w:r>
      <w:r>
        <w:rPr>
          <w:rFonts w:ascii="Bricolage Grotesque SemiBold" w:cs="Bricolage Grotesque SemiBold" w:eastAsia="Bricolage Grotesque SemiBold" w:hAnsi="Bricolage Grotesque SemiBold"/>
          <w:color w:val="13261D"/>
          <w:sz w:val="30"/>
          <w:szCs w:val="30"/>
        </w:rPr>
        <w:t xml:space="preserve">   Where we are</w:t>
      </w:r>
    </w:p>
    <w:p>
      <w:pPr>
        <w:pStyle w:val="Heading2"/>
        <w:keepNext/>
      </w:pPr>
      <w:r>
        <w:rPr>
          <w:rFonts w:ascii="Instrument Sans SemiBold" w:cs="Instrument Sans SemiBold" w:eastAsia="Instrument Sans SemiBold" w:hAnsi="Instrument Sans SemiBold"/>
          <w:color w:val="13261D"/>
          <w:sz w:val="21"/>
          <w:szCs w:val="21"/>
        </w:rPr>
        <w:t xml:space="preserve">What works today</w:t>
      </w:r>
    </w:p>
    <w:p>
      <w:pPr>
        <w:pStyle w:val="ListParagraph"/>
        <w:keepNext/>
        <w:keepLines/>
        <w:numPr>
          <w:ilvl w:val="0"/>
          <w:numId w:val="2"/>
        </w:numPr>
        <w:spacing w:after="60" w:before="0" w:line="245" w:lineRule="auto"/>
      </w:pPr>
      <w:r>
        <w:rPr>
          <w:rFonts w:ascii="Instrument Sans" w:cs="Instrument Sans" w:eastAsia="Instrument Sans" w:hAnsi="Instrument Sans"/>
          <w:color w:val="13261D"/>
          <w:sz w:val="20"/>
          <w:szCs w:val="20"/>
        </w:rPr>
        <w:t xml:space="preserve">An iPhone app with an Apple Watch companion and lock-screen live updates. The Android app is in testing and goes live at launch.</w:t>
      </w:r>
    </w:p>
    <w:p>
      <w:pPr>
        <w:pStyle w:val="ListParagraph"/>
        <w:keepNext/>
        <w:keepLines/>
        <w:numPr>
          <w:ilvl w:val="0"/>
          <w:numId w:val="2"/>
        </w:numPr>
        <w:spacing w:after="60" w:before="0" w:line="245" w:lineRule="auto"/>
      </w:pPr>
      <w:r>
        <w:rPr>
          <w:rFonts w:ascii="Instrument Sans" w:cs="Instrument Sans" w:eastAsia="Instrument Sans" w:hAnsi="Instrument Sans"/>
          <w:color w:val="13261D"/>
          <w:sz w:val="20"/>
          <w:szCs w:val="20"/>
        </w:rPr>
        <w:t xml:space="preserve">Dispatch to a law firm, the consulate and a trusted contact, with live location. Messages are simulated until the messaging provider is live.</w:t>
      </w:r>
    </w:p>
    <w:p>
      <w:pPr>
        <w:pStyle w:val="ListParagraph"/>
        <w:keepNext/>
        <w:keepLines/>
        <w:numPr>
          <w:ilvl w:val="0"/>
          <w:numId w:val="2"/>
        </w:numPr>
        <w:spacing w:after="60" w:before="0" w:line="245" w:lineRule="auto"/>
      </w:pPr>
      <w:r>
        <w:rPr>
          <w:rFonts w:ascii="Instrument Sans" w:cs="Instrument Sans" w:eastAsia="Instrument Sans" w:hAnsi="Instrument Sans"/>
          <w:color w:val="13261D"/>
          <w:sz w:val="20"/>
          <w:szCs w:val="20"/>
        </w:rPr>
        <w:t xml:space="preserve">An operations console for the response team, with case chat and voice notes to the member’s phone or watch.</w:t>
      </w:r>
    </w:p>
    <w:p>
      <w:pPr>
        <w:pStyle w:val="ListParagraph"/>
        <w:keepNext/>
        <w:keepLines/>
        <w:numPr>
          <w:ilvl w:val="0"/>
          <w:numId w:val="2"/>
        </w:numPr>
        <w:spacing w:after="60" w:before="0" w:line="245" w:lineRule="auto"/>
      </w:pPr>
      <w:r>
        <w:rPr>
          <w:rFonts w:ascii="Instrument Sans" w:cs="Instrument Sans" w:eastAsia="Instrument Sans" w:hAnsi="Instrument Sans"/>
          <w:color w:val="13261D"/>
          <w:sz w:val="20"/>
          <w:szCs w:val="20"/>
        </w:rPr>
        <w:t xml:space="preserve">App Store membership purchase (Apple’s test environment) and card payments (Stripe test mode).</w:t>
      </w:r>
    </w:p>
    <w:p>
      <w:pPr>
        <w:pStyle w:val="ListParagraph"/>
        <w:keepLines/>
        <w:numPr>
          <w:ilvl w:val="0"/>
          <w:numId w:val="2"/>
        </w:numPr>
        <w:spacing w:after="140" w:before="0" w:line="245" w:lineRule="auto"/>
      </w:pPr>
      <w:r>
        <w:rPr>
          <w:rFonts w:ascii="Instrument Sans" w:cs="Instrument Sans" w:eastAsia="Instrument Sans" w:hAnsi="Instrument Sans"/>
          <w:color w:val="13261D"/>
          <w:sz w:val="20"/>
          <w:szCs w:val="20"/>
        </w:rPr>
        <w:t xml:space="preserve">Production and staging servers, with health-checked releases and automatic rollback.</w:t>
      </w:r>
    </w:p>
    <w:p>
      <w:pPr>
        <w:pStyle w:val="Heading2"/>
        <w:keepNext/>
      </w:pPr>
      <w:r>
        <w:rPr>
          <w:rFonts w:ascii="Instrument Sans SemiBold" w:cs="Instrument Sans SemiBold" w:eastAsia="Instrument Sans SemiBold" w:hAnsi="Instrument Sans SemiBold"/>
          <w:color w:val="13261D"/>
          <w:sz w:val="21"/>
          <w:szCs w:val="21"/>
        </w:rPr>
        <w:t xml:space="preserve">Built, signed and still to do</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500"/>
        <w:gridCol w:w="3700"/>
        <w:gridCol w:w="4212"/>
      </w:tblGrid>
      <w:tr>
        <w:trPr>
          <w:cantSplit/>
          <w:tblHeader/>
        </w:trPr>
        <w:tc>
          <w:tcPr>
            <w:tcW w:type="dxa" w:w="15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Area</w:t>
            </w:r>
          </w:p>
        </w:tc>
        <w:tc>
          <w:tcPr>
            <w:tcW w:type="dxa" w:w="37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In place</w:t>
            </w:r>
          </w:p>
        </w:tc>
        <w:tc>
          <w:tcPr>
            <w:tcW w:type="dxa" w:w="42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Still to do</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Technology</w:t>
            </w:r>
          </w:p>
        </w:tc>
        <w:tc>
          <w:tcPr>
            <w:tcW w:type="dxa" w:w="3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App, watch, dispatch server, operations console and payments, all working in test mode.</w:t>
            </w:r>
          </w:p>
        </w:tc>
        <w:tc>
          <w:tcPr>
            <w:tcW w:type="dxa" w:w="42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Live messaging (Twilio), email, the location licence, monitoring and offsite backups, and 2-3 weeks of pre-launch fixes.</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Law firms</w:t>
            </w:r>
          </w:p>
        </w:tc>
        <w:tc>
          <w:tcPr>
            <w:tcW w:type="dxa" w:w="3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commentRangeStart w:id="4"/>
            <w:r>
              <w:rPr>
                <w:rFonts w:ascii="Instrument Sans" w:cs="Instrument Sans" w:eastAsia="Instrument Sans" w:hAnsi="Instrument Sans"/>
                <w:color w:val="13261D"/>
                <w:sz w:val="18"/>
                <w:szCs w:val="18"/>
              </w:rPr>
              <w:t xml:space="preserve">The plan: a panel of three to five vetted firms covering all seven emirates at launch.</w:t>
            </w:r>
            <w:commentRangeEnd w:id="4"/>
            <w:r>
              <w:commentReference w:id="4"/>
            </w:r>
          </w:p>
        </w:tc>
        <w:tc>
          <w:tcPr>
            <w:tcW w:type="dxa" w:w="42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No firm agreement is signed yet. </w:t>
            </w:r>
            <w:commentRangeStart w:id="5"/>
            <w:r>
              <w:rPr>
                <w:rFonts w:ascii="Instrument Sans" w:cs="Instrument Sans" w:eastAsia="Instrument Sans" w:hAnsi="Instrument Sans"/>
                <w:color w:val="13261D"/>
                <w:sz w:val="18"/>
                <w:szCs w:val="18"/>
              </w:rPr>
              <w:t xml:space="preserve">It is on the critical path.</w:t>
            </w:r>
            <w:commentRangeEnd w:id="5"/>
            <w:r>
              <w:commentReference w:id="5"/>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Insurance</w:t>
            </w:r>
          </w:p>
        </w:tc>
        <w:tc>
          <w:tcPr>
            <w:tcW w:type="dxa" w:w="3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6"/>
            <w:r>
              <w:rPr>
                <w:rFonts w:ascii="Instrument Sans" w:cs="Instrument Sans" w:eastAsia="Instrument Sans" w:hAnsi="Instrument Sans"/>
                <w:color w:val="13261D"/>
                <w:sz w:val="18"/>
                <w:szCs w:val="18"/>
              </w:rPr>
              <w:t xml:space="preserve">Agreed in principle with Howden and AIG.</w:t>
            </w:r>
            <w:commentRangeEnd w:id="6"/>
            <w:r>
              <w:commentReference w:id="6"/>
            </w:r>
          </w:p>
        </w:tc>
        <w:tc>
          <w:tcPr>
            <w:tcW w:type="dxa" w:w="42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Final commitment, which waits on the capacity provider’s sign-off; then the group policy, commission terms and written policy schedule.</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Operations</w:t>
            </w:r>
          </w:p>
        </w:tc>
        <w:tc>
          <w:tcPr>
            <w:tcW w:type="dxa" w:w="3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Operations console. In test mode the COO is the operations contact.</w:t>
            </w:r>
          </w:p>
        </w:tc>
        <w:tc>
          <w:tcPr>
            <w:tcW w:type="dxa" w:w="42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24/7 desk in two stages: an on-call desk at launch, staffed seats from 10,000 members (section 6).</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Company</w:t>
            </w:r>
          </w:p>
        </w:tc>
        <w:tc>
          <w:tcPr>
            <w:tcW w:type="dxa" w:w="3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Launch entity: Murrayfield Law. Apple developer account (individual).</w:t>
            </w:r>
          </w:p>
        </w:tc>
        <w:tc>
          <w:tcPr>
            <w:tcW w:type="dxa" w:w="42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7"/>
            <w:r>
              <w:rPr>
                <w:rFonts w:ascii="Instrument Sans" w:cs="Instrument Sans" w:eastAsia="Instrument Sans" w:hAnsi="Instrument Sans"/>
                <w:color w:val="13261D"/>
                <w:sz w:val="18"/>
                <w:szCs w:val="18"/>
              </w:rPr>
              <w:t xml:space="preserve">ELA’s own company later (Jon leads), the App Store organisation account and the App Store listing.</w:t>
            </w:r>
            <w:commentRangeEnd w:id="7"/>
            <w:r>
              <w:commentReference w:id="7"/>
            </w:r>
          </w:p>
        </w:tc>
      </w:tr>
    </w:tbl>
    <w:p>
      <w:pPr>
        <w:pStyle w:val="Heading1"/>
        <w:keepNext/>
        <w:keepLines/>
      </w:pPr>
      <w:r>
        <w:rPr>
          <w:rFonts w:ascii="Bricolage Grotesque SemiBold" w:cs="Bricolage Grotesque SemiBold" w:eastAsia="Bricolage Grotesque SemiBold" w:hAnsi="Bricolage Grotesque SemiBold"/>
          <w:color w:val="0E8F5C"/>
          <w:sz w:val="30"/>
          <w:szCs w:val="30"/>
        </w:rPr>
        <w:t xml:space="preserve">3</w:t>
      </w:r>
      <w:r>
        <w:rPr>
          <w:rFonts w:ascii="Bricolage Grotesque SemiBold" w:cs="Bricolage Grotesque SemiBold" w:eastAsia="Bricolage Grotesque SemiBold" w:hAnsi="Bricolage Grotesque SemiBold"/>
          <w:color w:val="13261D"/>
          <w:sz w:val="30"/>
          <w:szCs w:val="30"/>
        </w:rPr>
        <w:t xml:space="preserve">   Business model</w:t>
      </w:r>
    </w:p>
    <w:p>
      <w:pPr>
        <w:keepNext/>
        <w:spacing w:after="100" w:before="0" w:line="250" w:lineRule="auto"/>
      </w:pPr>
      <w:r>
        <w:rPr>
          <w:rFonts w:ascii="Instrument Sans" w:cs="Instrument Sans" w:eastAsia="Instrument Sans" w:hAnsi="Instrument Sans"/>
          <w:color w:val="13261D"/>
          <w:sz w:val="20"/>
          <w:szCs w:val="20"/>
        </w:rPr>
        <w:t xml:space="preserve">One membership that everyone joins. The emergency response is the same for every member; the insurance add-on changes who pays the legal fees, never what happens.</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750"/>
        <w:gridCol w:w="4400"/>
        <w:gridCol w:w="3262"/>
      </w:tblGrid>
      <w:tr>
        <w:trPr>
          <w:cantSplit/>
          <w:tblHeader/>
        </w:trPr>
        <w:tc>
          <w:tcPr>
            <w:tcW w:type="dxa" w:w="175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Revenue line</w:t>
            </w:r>
          </w:p>
        </w:tc>
        <w:tc>
          <w:tcPr>
            <w:tcW w:type="dxa" w:w="44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How it works</w:t>
            </w:r>
          </w:p>
        </w:tc>
        <w:tc>
          <w:tcPr>
            <w:tcW w:type="dxa" w:w="326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Price or rate</w:t>
            </w:r>
          </w:p>
        </w:tc>
      </w:tr>
      <w:tr>
        <w:trPr>
          <w:cantSplit/>
        </w:trPr>
        <w:tc>
          <w:tcPr>
            <w:tcW w:type="dxa" w:w="17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8"/>
            <w:r>
              <w:rPr>
                <w:rFonts w:ascii="Instrument Sans SemiBold" w:cs="Instrument Sans SemiBold" w:eastAsia="Instrument Sans SemiBold" w:hAnsi="Instrument Sans SemiBold"/>
                <w:color w:val="13261D"/>
                <w:sz w:val="18"/>
                <w:szCs w:val="18"/>
              </w:rPr>
              <w:t xml:space="preserve">Membership</w:t>
            </w:r>
            <w:commentRangeEnd w:id="8"/>
            <w:r>
              <w:commentReference w:id="8"/>
            </w:r>
          </w:p>
        </w:tc>
        <w:tc>
          <w:tcPr>
            <w:tcW w:type="dxa" w:w="44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Members join through the App Store. Employers can also buy seats for their staff by contract, outside the App Store.</w:t>
            </w:r>
          </w:p>
        </w:tc>
        <w:tc>
          <w:tcPr>
            <w:tcW w:type="dxa" w:w="32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AED 24.99 a week, 79.99 a month or 749.99 a year. Company seats AED 500 a year plus VAT</w:t>
            </w:r>
          </w:p>
        </w:tc>
      </w:tr>
      <w:tr>
        <w:trPr>
          <w:cantSplit/>
        </w:trPr>
        <w:tc>
          <w:tcPr>
            <w:tcW w:type="dxa" w:w="17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Insurance add-on</w:t>
            </w:r>
          </w:p>
        </w:tc>
        <w:tc>
          <w:tcPr>
            <w:tcW w:type="dxa" w:w="44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commentRangeStart w:id="9"/>
            <w:r>
              <w:rPr>
                <w:rFonts w:ascii="Instrument Sans" w:cs="Instrument Sans" w:eastAsia="Instrument Sans" w:hAnsi="Instrument Sans"/>
                <w:color w:val="13261D"/>
                <w:sz w:val="18"/>
                <w:szCs w:val="18"/>
              </w:rPr>
              <w:t xml:space="preserve">Optional legal-costs cover, agreed in principle with Howden and AIG, added after joining. Pays legal fees up to AED 100,000 and bail up to AED 50,000 per claim. The model assumes 5%, 15% or 25% of members take it (Cautious, Base, Upside).</w:t>
            </w:r>
            <w:commentRangeEnd w:id="9"/>
            <w:r>
              <w:commentReference w:id="9"/>
            </w:r>
          </w:p>
        </w:tc>
        <w:tc>
          <w:tcPr>
            <w:tcW w:type="dxa" w:w="326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commentRangeStart w:id="10"/>
            <w:r>
              <w:rPr>
                <w:rFonts w:ascii="Instrument Sans" w:cs="Instrument Sans" w:eastAsia="Instrument Sans" w:hAnsi="Instrument Sans"/>
                <w:color w:val="13261D"/>
                <w:sz w:val="18"/>
                <w:szCs w:val="18"/>
              </w:rPr>
              <w:t xml:space="preserve">AED 3,000 per adult a year. ELA earns 10% of the premium.</w:t>
            </w:r>
            <w:commentRangeEnd w:id="10"/>
            <w:r>
              <w:commentReference w:id="10"/>
            </w:r>
          </w:p>
        </w:tc>
      </w:tr>
      <w:tr>
        <w:trPr>
          <w:cantSplit/>
        </w:trPr>
        <w:tc>
          <w:tcPr>
            <w:tcW w:type="dxa" w:w="17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11"/>
            <w:r>
              <w:rPr>
                <w:rFonts w:ascii="Instrument Sans SemiBold" w:cs="Instrument Sans SemiBold" w:eastAsia="Instrument Sans SemiBold" w:hAnsi="Instrument Sans SemiBold"/>
                <w:color w:val="13261D"/>
                <w:sz w:val="18"/>
                <w:szCs w:val="18"/>
              </w:rPr>
              <w:t xml:space="preserve">Legal referral</w:t>
            </w:r>
            <w:commentRangeEnd w:id="11"/>
            <w:r>
              <w:commentReference w:id="11"/>
            </w:r>
          </w:p>
        </w:tc>
        <w:tc>
          <w:tcPr>
            <w:tcW w:type="dxa" w:w="44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12"/>
            <w:r>
              <w:rPr>
                <w:rFonts w:ascii="Instrument Sans" w:cs="Instrument Sans" w:eastAsia="Instrument Sans" w:hAnsi="Instrument Sans"/>
                <w:color w:val="13261D"/>
                <w:sz w:val="18"/>
                <w:szCs w:val="18"/>
              </w:rPr>
              <w:t xml:space="preserve">The law firm pays ELA a commission on the legal fees from the cases ELA sends it. The model assumes members keep the panel firm in 60% of dispatches, at average fees of AED 25,000.</w:t>
            </w:r>
            <w:commentRangeEnd w:id="12"/>
            <w:r>
              <w:commentReference w:id="12"/>
            </w:r>
          </w:p>
        </w:tc>
        <w:tc>
          <w:tcPr>
            <w:tcW w:type="dxa" w:w="32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13"/>
            <w:r>
              <w:rPr>
                <w:rFonts w:ascii="Instrument Sans" w:cs="Instrument Sans" w:eastAsia="Instrument Sans" w:hAnsi="Instrument Sans"/>
                <w:color w:val="13261D"/>
                <w:sz w:val="18"/>
                <w:szCs w:val="18"/>
              </w:rPr>
              <w:t xml:space="preserve">10% of legal fees. Counted in the projections; to be removed if UAE law rules out a per-case commission (section 8)</w:t>
            </w:r>
            <w:commentRangeEnd w:id="13"/>
            <w:r>
              <w:commentReference w:id="13"/>
            </w:r>
          </w:p>
        </w:tc>
      </w:tr>
      <w:tr>
        <w:trPr>
          <w:cantSplit/>
        </w:trPr>
        <w:tc>
          <w:tcPr>
            <w:tcW w:type="dxa" w:w="17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commentRangeStart w:id="14"/>
            <w:r>
              <w:rPr>
                <w:rFonts w:ascii="Instrument Sans SemiBold" w:cs="Instrument Sans SemiBold" w:eastAsia="Instrument Sans SemiBold" w:hAnsi="Instrument Sans SemiBold"/>
                <w:color w:val="13261D"/>
                <w:sz w:val="18"/>
                <w:szCs w:val="18"/>
              </w:rPr>
              <w:t xml:space="preserve">Law-firm panel</w:t>
            </w:r>
            <w:commentRangeEnd w:id="14"/>
            <w:r>
              <w:commentReference w:id="14"/>
            </w:r>
          </w:p>
        </w:tc>
        <w:tc>
          <w:tcPr>
            <w:tcW w:type="dxa" w:w="44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commentRangeStart w:id="15"/>
            <w:r>
              <w:rPr>
                <w:rFonts w:ascii="Instrument Sans" w:cs="Instrument Sans" w:eastAsia="Instrument Sans" w:hAnsi="Instrument Sans"/>
                <w:color w:val="13261D"/>
                <w:sz w:val="18"/>
                <w:szCs w:val="18"/>
              </w:rPr>
              <w:t xml:space="preserve">ELA launches with a panel of three to five vetted firms. Firms get free access to the network for the first two years, and ELA sends them the cases. From year three, each firm pays a panel membership fee to stay on the panel.</w:t>
            </w:r>
            <w:commentRangeEnd w:id="15"/>
            <w:r>
              <w:commentReference w:id="15"/>
            </w:r>
          </w:p>
        </w:tc>
        <w:tc>
          <w:tcPr>
            <w:tcW w:type="dxa" w:w="326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From year three. AED 5,000 per firm a month in the model, a placeholder</w:t>
            </w:r>
          </w:p>
        </w:tc>
      </w:tr>
    </w:tbl>
    <w:p>
      <w:pPr>
        <w:spacing w:after="120" w:before="60" w:line="250" w:lineRule="auto"/>
      </w:pPr>
      <w:commentRangeStart w:id="16"/>
      <w:r>
        <w:rPr>
          <w:rFonts w:ascii="Instrument Sans" w:cs="Instrument Sans" w:eastAsia="Instrument Sans" w:hAnsi="Instrument Sans"/>
          <w:color w:val="4A5E53"/>
          <w:sz w:val="16"/>
          <w:szCs w:val="16"/>
        </w:rPr>
        <w:t xml:space="preserve">ELA pays the law firms nothing: no attendance fee and no retainer.</w:t>
      </w:r>
      <w:commentRangeEnd w:id="16"/>
      <w:r>
        <w:commentReference w:id="16"/>
      </w:r>
      <w:r>
        <w:rPr>
          <w:rFonts w:ascii="Instrument Sans" w:cs="Instrument Sans" w:eastAsia="Instrument Sans" w:hAnsi="Instrument Sans"/>
          <w:color w:val="4A5E53"/>
          <w:sz w:val="16"/>
          <w:szCs w:val="16"/>
        </w:rPr>
        <w:t xml:space="preserve"> The member, or the insurance add-on, pays the lawyer.</w:t>
      </w:r>
    </w:p>
    <w:p>
      <w:pPr>
        <w:pStyle w:val="Heading2"/>
        <w:keepNext/>
      </w:pPr>
      <w:r>
        <w:rPr>
          <w:rFonts w:ascii="Instrument Sans SemiBold" w:cs="Instrument Sans SemiBold" w:eastAsia="Instrument Sans SemiBold" w:hAnsi="Instrument Sans SemiBold"/>
          <w:color w:val="13261D"/>
          <w:sz w:val="21"/>
          <w:szCs w:val="21"/>
        </w:rPr>
        <w:t xml:space="preserve">What a member is worth after VAT and Apple</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700"/>
        <w:gridCol w:w="1700"/>
        <w:gridCol w:w="1900"/>
        <w:gridCol w:w="2056"/>
        <w:gridCol w:w="2056"/>
      </w:tblGrid>
      <w:tr>
        <w:trPr>
          <w:cantSplit/>
          <w:tblHeader/>
        </w:trPr>
        <w:tc>
          <w:tcPr>
            <w:tcW w:type="dxa" w:w="17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Plan</w:t>
            </w:r>
          </w:p>
        </w:tc>
        <w:tc>
          <w:tcPr>
            <w:tcW w:type="dxa" w:w="17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Price (AED)</w:t>
            </w:r>
          </w:p>
        </w:tc>
        <w:tc>
          <w:tcPr>
            <w:tcW w:type="dxa" w:w="19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Gross a year</w:t>
            </w:r>
          </w:p>
        </w:tc>
        <w:tc>
          <w:tcPr>
            <w:tcW w:type="dxa" w:w="2056"/>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Apple at 15%</w:t>
            </w:r>
          </w:p>
        </w:tc>
        <w:tc>
          <w:tcPr>
            <w:tcW w:type="dxa" w:w="2056"/>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Apple at 30%</w:t>
            </w:r>
          </w:p>
        </w:tc>
      </w:tr>
      <w:tr>
        <w:trPr>
          <w:cantSplit/>
        </w:trPr>
        <w:tc>
          <w:tcPr>
            <w:tcW w:type="dxa" w:w="1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Weekly</w:t>
            </w:r>
          </w:p>
        </w:tc>
        <w:tc>
          <w:tcPr>
            <w:tcW w:type="dxa" w:w="1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24.99</w:t>
            </w:r>
          </w:p>
        </w:tc>
        <w:tc>
          <w:tcPr>
            <w:tcW w:type="dxa" w:w="1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1,304</w:t>
            </w:r>
          </w:p>
        </w:tc>
        <w:tc>
          <w:tcPr>
            <w:tcW w:type="dxa" w:w="2056"/>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1,056</w:t>
            </w:r>
          </w:p>
        </w:tc>
        <w:tc>
          <w:tcPr>
            <w:tcW w:type="dxa" w:w="2056"/>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869</w:t>
            </w:r>
          </w:p>
        </w:tc>
      </w:tr>
      <w:tr>
        <w:trPr>
          <w:cantSplit/>
        </w:trPr>
        <w:tc>
          <w:tcPr>
            <w:tcW w:type="dxa" w:w="1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Monthly</w:t>
            </w:r>
          </w:p>
        </w:tc>
        <w:tc>
          <w:tcPr>
            <w:tcW w:type="dxa" w:w="1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79.99</w:t>
            </w:r>
          </w:p>
        </w:tc>
        <w:tc>
          <w:tcPr>
            <w:tcW w:type="dxa" w:w="1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960</w:t>
            </w:r>
          </w:p>
        </w:tc>
        <w:tc>
          <w:tcPr>
            <w:tcW w:type="dxa" w:w="2056"/>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777</w:t>
            </w:r>
          </w:p>
        </w:tc>
        <w:tc>
          <w:tcPr>
            <w:tcW w:type="dxa" w:w="2056"/>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640</w:t>
            </w:r>
          </w:p>
        </w:tc>
      </w:tr>
      <w:tr>
        <w:trPr>
          <w:cantSplit/>
        </w:trPr>
        <w:tc>
          <w:tcPr>
            <w:tcW w:type="dxa" w:w="1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Annual</w:t>
            </w:r>
          </w:p>
        </w:tc>
        <w:tc>
          <w:tcPr>
            <w:tcW w:type="dxa" w:w="1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749.99</w:t>
            </w:r>
          </w:p>
        </w:tc>
        <w:tc>
          <w:tcPr>
            <w:tcW w:type="dxa" w:w="1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750</w:t>
            </w:r>
          </w:p>
        </w:tc>
        <w:tc>
          <w:tcPr>
            <w:tcW w:type="dxa" w:w="2056"/>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607</w:t>
            </w:r>
          </w:p>
        </w:tc>
        <w:tc>
          <w:tcPr>
            <w:tcW w:type="dxa" w:w="2056"/>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500</w:t>
            </w:r>
          </w:p>
        </w:tc>
      </w:tr>
      <w:tr>
        <w:trPr>
          <w:cantSplit/>
        </w:trPr>
        <w:tc>
          <w:tcPr>
            <w:tcW w:type="dxa" w:w="1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Company seat</w:t>
            </w:r>
          </w:p>
        </w:tc>
        <w:tc>
          <w:tcPr>
            <w:tcW w:type="dxa" w:w="1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500 + VAT</w:t>
            </w:r>
          </w:p>
        </w:tc>
        <w:tc>
          <w:tcPr>
            <w:tcW w:type="dxa" w:w="1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525</w:t>
            </w:r>
          </w:p>
        </w:tc>
        <w:tc>
          <w:tcPr>
            <w:tcW w:type="dxa" w:w="2056"/>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500</w:t>
            </w:r>
          </w:p>
        </w:tc>
        <w:tc>
          <w:tcPr>
            <w:tcW w:type="dxa" w:w="2056"/>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500</w:t>
            </w:r>
          </w:p>
        </w:tc>
      </w:tr>
    </w:tbl>
    <w:p>
      <w:pPr>
        <w:spacing w:after="120" w:before="60" w:line="250" w:lineRule="auto"/>
      </w:pPr>
      <w:r>
        <w:rPr>
          <w:rFonts w:ascii="Instrument Sans" w:cs="Instrument Sans" w:eastAsia="Instrument Sans" w:hAnsi="Instrument Sans"/>
          <w:color w:val="4A5E53"/>
          <w:sz w:val="16"/>
          <w:szCs w:val="16"/>
        </w:rPr>
        <w:t xml:space="preserve">Net per member per year in AED, after 5% UAE VAT and Apple’s commission. </w:t>
      </w:r>
      <w:commentRangeStart w:id="17"/>
      <w:r>
        <w:rPr>
          <w:rFonts w:ascii="Instrument Sans" w:cs="Instrument Sans" w:eastAsia="Instrument Sans" w:hAnsi="Instrument Sans"/>
          <w:color w:val="4A5E53"/>
          <w:sz w:val="16"/>
          <w:szCs w:val="16"/>
        </w:rPr>
        <w:t xml:space="preserve">In year one Apple’s Small Business Program charges 15%, while our App Store proceeds stay under USD 1 million a year.</w:t>
      </w:r>
      <w:commentRangeEnd w:id="17"/>
      <w:r>
        <w:commentReference w:id="17"/>
      </w:r>
      <w:r>
        <w:rPr>
          <w:rFonts w:ascii="Instrument Sans" w:cs="Instrument Sans" w:eastAsia="Instrument Sans" w:hAnsi="Instrument Sans"/>
          <w:color w:val="4A5E53"/>
          <w:sz w:val="16"/>
          <w:szCs w:val="16"/>
        </w:rPr>
        <w:t xml:space="preserve"> Past that, Apple keeps 30% of a member’s first year and 15% after; the Base case passes USD 1 million in month 11. Company seats sold by contract skip Apple.</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4</w:t>
      </w:r>
      <w:r>
        <w:rPr>
          <w:rFonts w:ascii="Bricolage Grotesque SemiBold" w:cs="Bricolage Grotesque SemiBold" w:eastAsia="Bricolage Grotesque SemiBold" w:hAnsi="Bricolage Grotesque SemiBold"/>
          <w:color w:val="13261D"/>
          <w:sz w:val="30"/>
          <w:szCs w:val="30"/>
        </w:rPr>
        <w:t xml:space="preserve">   Routes to market</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850"/>
        <w:gridCol w:w="4300"/>
        <w:gridCol w:w="1300"/>
        <w:gridCol w:w="1962"/>
      </w:tblGrid>
      <w:tr>
        <w:trPr>
          <w:cantSplit/>
          <w:tblHeader/>
        </w:trPr>
        <w:tc>
          <w:tcPr>
            <w:tcW w:type="dxa" w:w="185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Channel</w:t>
            </w:r>
          </w:p>
        </w:tc>
        <w:tc>
          <w:tcPr>
            <w:tcW w:type="dxa" w:w="43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How we reach them</w:t>
            </w:r>
          </w:p>
        </w:tc>
        <w:tc>
          <w:tcPr>
            <w:tcW w:type="dxa" w:w="13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commentRangeStart w:id="18"/>
            <w:r>
              <w:rPr>
                <w:rFonts w:ascii="Instrument Sans SemiBold" w:cs="Instrument Sans SemiBold" w:eastAsia="Instrument Sans SemiBold" w:hAnsi="Instrument Sans SemiBold"/>
                <w:color w:val="4A5E53"/>
                <w:sz w:val="16"/>
                <w:szCs w:val="16"/>
              </w:rPr>
              <w:t xml:space="preserve">Joined in year one (Base)</w:t>
            </w:r>
            <w:commentRangeEnd w:id="18"/>
            <w:r>
              <w:commentReference w:id="18"/>
            </w:r>
          </w:p>
        </w:tc>
        <w:tc>
          <w:tcPr>
            <w:tcW w:type="dxa" w:w="196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When</w:t>
            </w:r>
          </w:p>
        </w:tc>
      </w:tr>
      <w:tr>
        <w:trPr>
          <w:cantSplit/>
        </w:trPr>
        <w:tc>
          <w:tcPr>
            <w:tcW w:type="dxa" w:w="18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Individuals, paid</w:t>
            </w:r>
          </w:p>
        </w:tc>
        <w:tc>
          <w:tcPr>
            <w:tcW w:type="dxa" w:w="43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Paid social media campaigns.</w:t>
            </w:r>
          </w:p>
        </w:tc>
        <w:tc>
          <w:tcPr>
            <w:tcW w:type="dxa" w:w="13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6,000</w:t>
            </w:r>
          </w:p>
        </w:tc>
        <w:tc>
          <w:tcPr>
            <w:tcW w:type="dxa" w:w="19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At launch</w:t>
            </w:r>
          </w:p>
        </w:tc>
      </w:tr>
      <w:tr>
        <w:trPr>
          <w:cantSplit/>
        </w:trPr>
        <w:tc>
          <w:tcPr>
            <w:tcW w:type="dxa" w:w="18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Individuals, earned</w:t>
            </w:r>
          </w:p>
        </w:tc>
        <w:tc>
          <w:tcPr>
            <w:tcW w:type="dxa" w:w="43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Public relations, legal content creators and word of mouth.</w:t>
            </w:r>
          </w:p>
        </w:tc>
        <w:tc>
          <w:tcPr>
            <w:tcW w:type="dxa" w:w="13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3,600</w:t>
            </w:r>
          </w:p>
        </w:tc>
        <w:tc>
          <w:tcPr>
            <w:tcW w:type="dxa" w:w="196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At launch</w:t>
            </w:r>
          </w:p>
        </w:tc>
      </w:tr>
      <w:tr>
        <w:trPr>
          <w:cantSplit/>
        </w:trPr>
        <w:tc>
          <w:tcPr>
            <w:tcW w:type="dxa" w:w="18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Corporates and SMEs</w:t>
            </w:r>
          </w:p>
        </w:tc>
        <w:tc>
          <w:tcPr>
            <w:tcW w:type="dxa" w:w="43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commentRangeStart w:id="19"/>
            <w:r>
              <w:rPr>
                <w:rFonts w:ascii="Instrument Sans" w:cs="Instrument Sans" w:eastAsia="Instrument Sans" w:hAnsi="Instrument Sans"/>
                <w:color w:val="13261D"/>
                <w:sz w:val="18"/>
                <w:szCs w:val="18"/>
              </w:rPr>
              <w:t xml:space="preserve">Direct approach, employer-paid seats. Targets include Accenture, Citibank, Deloitte, PwC, EY, KPMG, HSBC, Siemens and Microsoft. SMEs directly, and through law firms and insurers.</w:t>
            </w:r>
            <w:commentRangeEnd w:id="19"/>
            <w:r>
              <w:commentReference w:id="19"/>
            </w:r>
          </w:p>
        </w:tc>
        <w:tc>
          <w:tcPr>
            <w:tcW w:type="dxa" w:w="13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3,200 seats</w:t>
            </w:r>
          </w:p>
        </w:tc>
        <w:tc>
          <w:tcPr>
            <w:tcW w:type="dxa" w:w="19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From month 5</w:t>
            </w:r>
          </w:p>
        </w:tc>
      </w:tr>
      <w:tr>
        <w:trPr>
          <w:cantSplit/>
        </w:trPr>
        <w:tc>
          <w:tcPr>
            <w:tcW w:type="dxa" w:w="18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Embassies and consulates</w:t>
            </w:r>
          </w:p>
        </w:tc>
        <w:tc>
          <w:tcPr>
            <w:tcW w:type="dxa" w:w="43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Direct approach. Every dispatch notifies the member’s consulate.</w:t>
            </w:r>
          </w:p>
        </w:tc>
        <w:tc>
          <w:tcPr>
            <w:tcW w:type="dxa" w:w="13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Not modelled</w:t>
            </w:r>
          </w:p>
        </w:tc>
        <w:tc>
          <w:tcPr>
            <w:tcW w:type="dxa" w:w="196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After launch</w:t>
            </w:r>
          </w:p>
        </w:tc>
      </w:tr>
    </w:tbl>
    <w:p>
      <w:pPr>
        <w:spacing w:after="120" w:before="60" w:line="250" w:lineRule="auto"/>
      </w:pPr>
      <w:r>
        <w:rPr>
          <w:rFonts w:ascii="Instrument Sans" w:cs="Instrument Sans" w:eastAsia="Instrument Sans" w:hAnsi="Instrument Sans"/>
          <w:color w:val="4A5E53"/>
          <w:sz w:val="16"/>
          <w:szCs w:val="16"/>
        </w:rPr>
        <w:t xml:space="preserve">New members joining in year one in the Base case: 9,600 individuals and 3,200 company seats. Some weekly and monthly members stop during the year, so 10,969 are members at its end. Named organisations are targets; no agreements are signed.</w:t>
      </w:r>
    </w:p>
    <w:p>
      <w:pPr>
        <w:pStyle w:val="Heading2"/>
        <w:keepNext/>
      </w:pPr>
      <w:r>
        <w:rPr>
          <w:rFonts w:ascii="Instrument Sans SemiBold" w:cs="Instrument Sans SemiBold" w:eastAsia="Instrument Sans SemiBold" w:hAnsi="Instrument Sans SemiBold"/>
          <w:color w:val="13261D"/>
          <w:sz w:val="21"/>
          <w:szCs w:val="21"/>
        </w:rPr>
        <w:t xml:space="preserve">Partner channels next</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Employee-wellbeing providers:</w:t>
      </w:r>
      <w:r>
        <w:rPr>
          <w:rFonts w:ascii="Instrument Sans" w:cs="Instrument Sans" w:eastAsia="Instrument Sans" w:hAnsi="Instrument Sans"/>
          <w:color w:val="13261D"/>
          <w:sz w:val="20"/>
          <w:szCs w:val="20"/>
        </w:rPr>
        <w:t xml:space="preserve"> ELA inside their crisis support for employers. First target: Lyra Health MENA.</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Legal content creators:</w:t>
      </w:r>
      <w:r>
        <w:rPr>
          <w:rFonts w:ascii="Instrument Sans" w:cs="Instrument Sans" w:eastAsia="Instrument Sans" w:hAnsi="Instrument Sans"/>
          <w:color w:val="13261D"/>
          <w:sz w:val="20"/>
          <w:szCs w:val="20"/>
        </w:rPr>
        <w:t xml:space="preserve"> UAE lawyers with large social audiences. </w:t>
      </w:r>
      <w:commentRangeStart w:id="20"/>
      <w:r>
        <w:rPr>
          <w:rFonts w:ascii="Instrument Sans" w:cs="Instrument Sans" w:eastAsia="Instrument Sans" w:hAnsi="Instrument Sans"/>
          <w:color w:val="13261D"/>
          <w:sz w:val="20"/>
          <w:szCs w:val="20"/>
        </w:rPr>
        <w:t xml:space="preserve">Ahmed Odeh (@lawbyodeh), the first one we looked at, has a conflict: Legal Cover’s terms name his firm, MIO &amp; Partners, as a partner firm, and he promoted Legal Cover in 2025.</w:t>
      </w:r>
      <w:commentRangeEnd w:id="20"/>
      <w:r>
        <w:commentReference w:id="20"/>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Travel insurers, premium bank cards and residency advisers:</w:t>
      </w:r>
      <w:r>
        <w:rPr>
          <w:rFonts w:ascii="Instrument Sans" w:cs="Instrument Sans" w:eastAsia="Instrument Sans" w:hAnsi="Instrument Sans"/>
          <w:color w:val="13261D"/>
          <w:sz w:val="20"/>
          <w:szCs w:val="20"/>
        </w:rPr>
        <w:t xml:space="preserve"> ELA bundled with their cover.</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D&amp;O insurers:</w:t>
      </w:r>
      <w:r>
        <w:rPr>
          <w:rFonts w:ascii="Instrument Sans" w:cs="Instrument Sans" w:eastAsia="Instrument Sans" w:hAnsi="Instrument Sans"/>
          <w:color w:val="13261D"/>
          <w:sz w:val="20"/>
          <w:szCs w:val="20"/>
        </w:rPr>
        <w:t xml:space="preserve"> ELA offered alongside directors’ and officers’ policies.</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5</w:t>
      </w:r>
      <w:r>
        <w:rPr>
          <w:rFonts w:ascii="Bricolage Grotesque SemiBold" w:cs="Bricolage Grotesque SemiBold" w:eastAsia="Bricolage Grotesque SemiBold" w:hAnsi="Bricolage Grotesque SemiBold"/>
          <w:color w:val="13261D"/>
          <w:sz w:val="30"/>
          <w:szCs w:val="30"/>
        </w:rPr>
        <w:t xml:space="preserve">   Financials</w:t>
      </w:r>
    </w:p>
    <w:p>
      <w:pPr>
        <w:keepNext/>
        <w:spacing w:after="100" w:before="0" w:line="250" w:lineRule="auto"/>
      </w:pPr>
      <w:commentRangeStart w:id="21"/>
      <w:r>
        <w:rPr>
          <w:rFonts w:ascii="Instrument Sans" w:cs="Instrument Sans" w:eastAsia="Instrument Sans" w:hAnsi="Instrument Sans"/>
          <w:color w:val="13261D"/>
          <w:sz w:val="20"/>
          <w:szCs w:val="20"/>
        </w:rPr>
        <w:t xml:space="preserve">Three cases from our monthly model, over the first three years from launch. Members join month by month from paid marketing and word of mouth, some stop paying, and every cost is counted, with a 15% contingency on top. These are our own assumptions, not a forecast.</w:t>
      </w:r>
      <w:commentRangeEnd w:id="21"/>
      <w:r>
        <w:commentReference w:id="21"/>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852"/>
        <w:gridCol w:w="840"/>
        <w:gridCol w:w="840"/>
        <w:gridCol w:w="840"/>
        <w:gridCol w:w="840"/>
        <w:gridCol w:w="840"/>
        <w:gridCol w:w="840"/>
        <w:gridCol w:w="840"/>
        <w:gridCol w:w="840"/>
        <w:gridCol w:w="840"/>
      </w:tblGrid>
      <w:tr>
        <w:trPr>
          <w:cantSplit/>
          <w:tblHeader/>
        </w:trPr>
        <w:tc>
          <w:tcPr>
            <w:tcW w:type="dxa" w:w="1852"/>
            <w:gridSpan w:val="1"/>
            <w:tcBorders>
              <w:top w:val="none" w:color="FFFFFF" w:sz="0"/>
              <w:left w:val="none" w:color="FFFFFF" w:sz="0"/>
              <w:bottom w:val="none" w:color="FFFFFF" w:sz="0"/>
              <w:right w:val="none" w:color="FFFFFF" w:sz="0"/>
            </w:tcBorders>
            <w:shd w:fill="DCEAE0" w:color="auto" w:val="clear"/>
            <w:tcMar>
              <w:top w:type="dxa" w:w="70"/>
              <w:left w:type="dxa" w:w="110"/>
              <w:bottom w:type="dxa" w:w="30"/>
              <w:right w:type="dxa" w:w="110"/>
            </w:tcMar>
          </w:tcPr>
          <w:p>
            <w:pPr>
              <w:keepNext/>
              <w:spacing w:after="0" w:before="0" w:line="235" w:lineRule="auto"/>
            </w:pPr>
          </w:p>
        </w:tc>
        <w:tc>
          <w:tcPr>
            <w:tcW w:type="dxa" w:w="2520"/>
            <w:gridSpan w:val="3"/>
            <w:tcBorders>
              <w:top w:val="none" w:color="FFFFFF" w:sz="0"/>
              <w:left w:val="none" w:color="FFFFFF" w:sz="0"/>
              <w:bottom w:val="single" w:color="AFC1B5" w:sz="4"/>
              <w:right w:val="none" w:color="FFFFFF" w:sz="0"/>
            </w:tcBorders>
            <w:shd w:fill="DCEAE0" w:color="auto" w:val="clear"/>
            <w:tcMar>
              <w:top w:type="dxa" w:w="70"/>
              <w:left w:type="dxa" w:w="110"/>
              <w:bottom w:type="dxa" w:w="30"/>
              <w:right w:type="dxa" w:w="110"/>
            </w:tcMar>
          </w:tcPr>
          <w:p>
            <w:pPr>
              <w:keepNext/>
              <w:spacing w:after="0" w:before="0" w:line="235" w:lineRule="auto"/>
              <w:jc w:val="center"/>
            </w:pPr>
            <w:r>
              <w:rPr>
                <w:rFonts w:ascii="Instrument Sans SemiBold" w:cs="Instrument Sans SemiBold" w:eastAsia="Instrument Sans SemiBold" w:hAnsi="Instrument Sans SemiBold"/>
                <w:color w:val="13261D"/>
                <w:sz w:val="16"/>
                <w:szCs w:val="16"/>
              </w:rPr>
              <w:t xml:space="preserve">Cautious</w:t>
            </w:r>
          </w:p>
        </w:tc>
        <w:tc>
          <w:tcPr>
            <w:tcW w:type="dxa" w:w="2520"/>
            <w:gridSpan w:val="3"/>
            <w:tcBorders>
              <w:top w:val="none" w:color="FFFFFF" w:sz="0"/>
              <w:left w:val="none" w:color="FFFFFF" w:sz="0"/>
              <w:bottom w:val="single" w:color="AFC1B5" w:sz="4"/>
              <w:right w:val="none" w:color="FFFFFF" w:sz="0"/>
            </w:tcBorders>
            <w:shd w:fill="DCEAE0" w:color="auto" w:val="clear"/>
            <w:tcMar>
              <w:top w:type="dxa" w:w="70"/>
              <w:left w:type="dxa" w:w="110"/>
              <w:bottom w:type="dxa" w:w="30"/>
              <w:right w:type="dxa" w:w="110"/>
            </w:tcMar>
          </w:tcPr>
          <w:p>
            <w:pPr>
              <w:keepNext/>
              <w:spacing w:after="0" w:before="0" w:line="235" w:lineRule="auto"/>
              <w:jc w:val="center"/>
            </w:pPr>
            <w:r>
              <w:rPr>
                <w:rFonts w:ascii="Instrument Sans SemiBold" w:cs="Instrument Sans SemiBold" w:eastAsia="Instrument Sans SemiBold" w:hAnsi="Instrument Sans SemiBold"/>
                <w:color w:val="13261D"/>
                <w:sz w:val="16"/>
                <w:szCs w:val="16"/>
              </w:rPr>
              <w:t xml:space="preserve">Base</w:t>
            </w:r>
          </w:p>
        </w:tc>
        <w:tc>
          <w:tcPr>
            <w:tcW w:type="dxa" w:w="2520"/>
            <w:gridSpan w:val="3"/>
            <w:tcBorders>
              <w:top w:val="none" w:color="FFFFFF" w:sz="0"/>
              <w:left w:val="none" w:color="FFFFFF" w:sz="0"/>
              <w:bottom w:val="single" w:color="AFC1B5" w:sz="4"/>
              <w:right w:val="none" w:color="FFFFFF" w:sz="0"/>
            </w:tcBorders>
            <w:shd w:fill="DCEAE0" w:color="auto" w:val="clear"/>
            <w:tcMar>
              <w:top w:type="dxa" w:w="70"/>
              <w:left w:type="dxa" w:w="110"/>
              <w:bottom w:type="dxa" w:w="30"/>
              <w:right w:type="dxa" w:w="110"/>
            </w:tcMar>
          </w:tcPr>
          <w:p>
            <w:pPr>
              <w:keepNext/>
              <w:spacing w:after="0" w:before="0" w:line="235" w:lineRule="auto"/>
              <w:jc w:val="center"/>
            </w:pPr>
            <w:r>
              <w:rPr>
                <w:rFonts w:ascii="Instrument Sans SemiBold" w:cs="Instrument Sans SemiBold" w:eastAsia="Instrument Sans SemiBold" w:hAnsi="Instrument Sans SemiBold"/>
                <w:color w:val="13261D"/>
                <w:sz w:val="16"/>
                <w:szCs w:val="16"/>
              </w:rPr>
              <w:t xml:space="preserve">Upside</w:t>
            </w:r>
          </w:p>
        </w:tc>
      </w:tr>
      <w:tr>
        <w:trPr>
          <w:cantSplit/>
          <w:tblHeader/>
        </w:trPr>
        <w:tc>
          <w:tcPr>
            <w:tcW w:type="dxa" w:w="185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AED million</w:t>
            </w:r>
          </w:p>
        </w:tc>
        <w:tc>
          <w:tcPr>
            <w:tcW w:type="dxa" w:w="84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1</w:t>
            </w:r>
          </w:p>
        </w:tc>
        <w:tc>
          <w:tcPr>
            <w:tcW w:type="dxa" w:w="84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2</w:t>
            </w:r>
          </w:p>
        </w:tc>
        <w:tc>
          <w:tcPr>
            <w:tcW w:type="dxa" w:w="84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3</w:t>
            </w:r>
          </w:p>
        </w:tc>
        <w:tc>
          <w:tcPr>
            <w:tcW w:type="dxa" w:w="84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1</w:t>
            </w:r>
          </w:p>
        </w:tc>
        <w:tc>
          <w:tcPr>
            <w:tcW w:type="dxa" w:w="84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2</w:t>
            </w:r>
          </w:p>
        </w:tc>
        <w:tc>
          <w:tcPr>
            <w:tcW w:type="dxa" w:w="84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3</w:t>
            </w:r>
          </w:p>
        </w:tc>
        <w:tc>
          <w:tcPr>
            <w:tcW w:type="dxa" w:w="84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1</w:t>
            </w:r>
          </w:p>
        </w:tc>
        <w:tc>
          <w:tcPr>
            <w:tcW w:type="dxa" w:w="84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2</w:t>
            </w:r>
          </w:p>
        </w:tc>
        <w:tc>
          <w:tcPr>
            <w:tcW w:type="dxa" w:w="84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3</w:t>
            </w:r>
          </w:p>
        </w:tc>
      </w:tr>
      <w:tr>
        <w:trPr>
          <w:cantSplit/>
        </w:trPr>
        <w:tc>
          <w:tcPr>
            <w:tcW w:type="dxa" w:w="185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Members at year end</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2,756</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5,481</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7,839</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10,969</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21,848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31,564</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33,031</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65,850</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96,383</w:t>
            </w:r>
          </w:p>
        </w:tc>
      </w:tr>
      <w:tr>
        <w:trPr>
          <w:cantSplit/>
        </w:trPr>
        <w:tc>
          <w:tcPr>
            <w:tcW w:type="dxa" w:w="185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Net revenue</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1.6</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3.3</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5.1</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6.2</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13.6</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20.5</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17.1</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41.1</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62.4</w:t>
            </w:r>
          </w:p>
        </w:tc>
      </w:tr>
      <w:tr>
        <w:trPr>
          <w:cantSplit/>
        </w:trPr>
        <w:tc>
          <w:tcPr>
            <w:tcW w:type="dxa" w:w="185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Direct costs</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(0.1)</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(0.3)</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(0.4)</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(0.4)</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(1.0)</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(1.4)</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(1.3)</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(2.8)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(4.3)</w:t>
            </w:r>
          </w:p>
        </w:tc>
      </w:tr>
      <w:tr>
        <w:trPr>
          <w:cantSplit/>
        </w:trPr>
        <w:tc>
          <w:tcPr>
            <w:tcW w:type="dxa" w:w="185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Marketing</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(2.9)</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(3.4)</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(4.0)</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(2.9)</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(3.4)</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(4.0)</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(2.9)</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(3.4)</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(4.0)</w:t>
            </w:r>
          </w:p>
        </w:tc>
      </w:tr>
      <w:tr>
        <w:trPr>
          <w:cantSplit/>
        </w:trPr>
        <w:tc>
          <w:tcPr>
            <w:tcW w:type="dxa" w:w="185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Operations</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(0.2)</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(0.2)</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(0.2)</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(0.2)</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(0.4)</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(0.4)</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(0.3)</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(0.7)</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(1.1)</w:t>
            </w:r>
          </w:p>
        </w:tc>
      </w:tr>
      <w:tr>
        <w:trPr>
          <w:cantSplit/>
        </w:trPr>
        <w:tc>
          <w:tcPr>
            <w:tcW w:type="dxa" w:w="185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Technology</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(1.6)</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(1.5)</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(1.5)</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(1.6)</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(1.5)</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(1.5)</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(1.6)</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(1.5)</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(1.5)</w:t>
            </w:r>
          </w:p>
        </w:tc>
      </w:tr>
      <w:tr>
        <w:trPr>
          <w:cantSplit/>
        </w:trPr>
        <w:tc>
          <w:tcPr>
            <w:tcW w:type="dxa" w:w="185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Administration</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(1.8)</w:t>
            </w:r>
          </w:p>
        </w:tc>
      </w:tr>
      <w:tr>
        <w:trPr>
          <w:cantSplit/>
        </w:trPr>
        <w:tc>
          <w:tcPr>
            <w:tcW w:type="dxa" w:w="185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Contingency (15%)</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(1.0)</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(1.1)</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(1.2)</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(1.0)</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(1.2)</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(1.4)</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(1.2)</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(1.5)</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(1.9)</w:t>
            </w:r>
          </w:p>
        </w:tc>
      </w:tr>
      <w:tr>
        <w:trPr>
          <w:cantSplit/>
        </w:trPr>
        <w:tc>
          <w:tcPr>
            <w:tcW w:type="dxa" w:w="185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6"/>
                <w:szCs w:val="16"/>
              </w:rPr>
              <w:t xml:space="preserve">Result</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(6.0)</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(4.8)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(3.8)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(1.8)</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4.5</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10.1</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8.0</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29.4</w:t>
            </w:r>
          </w:p>
        </w:tc>
        <w:tc>
          <w:tcPr>
            <w:tcW w:type="dxa" w:w="84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48.0</w:t>
            </w:r>
          </w:p>
        </w:tc>
      </w:tr>
      <w:tr>
        <w:trPr>
          <w:cantSplit/>
        </w:trPr>
        <w:tc>
          <w:tcPr>
            <w:tcW w:type="dxa" w:w="185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Cash at year end</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1.0</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(3.8)</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(7.6)</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5.2</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9.7</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19.8</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15.0</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44.5</w:t>
            </w:r>
          </w:p>
        </w:tc>
        <w:tc>
          <w:tcPr>
            <w:tcW w:type="dxa" w:w="84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92.5</w:t>
            </w:r>
          </w:p>
        </w:tc>
      </w:tr>
    </w:tbl>
    <w:p>
      <w:pPr>
        <w:spacing w:after="120" w:before="60" w:line="250" w:lineRule="auto"/>
      </w:pPr>
      <w:r>
        <w:rPr>
          <w:rFonts w:ascii="Instrument Sans" w:cs="Instrument Sans" w:eastAsia="Instrument Sans" w:hAnsi="Instrument Sans"/>
          <w:color w:val="4A5E53"/>
          <w:sz w:val="16"/>
          <w:szCs w:val="16"/>
        </w:rPr>
        <w:t xml:space="preserve">Net revenue is after VAT and Apple’s commission; costs are in brackets. Members include company seats. Cash includes the AED 7M raise in month 1.</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3412"/>
        <w:gridCol w:w="2000"/>
        <w:gridCol w:w="2000"/>
        <w:gridCol w:w="2000"/>
      </w:tblGrid>
      <w:tr>
        <w:trPr>
          <w:cantSplit/>
          <w:tblHeader/>
        </w:trPr>
        <w:tc>
          <w:tcPr>
            <w:tcW w:type="dxa" w:w="34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Over the three years</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Cautious</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Base</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Upside</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First month with a profit</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None in 3 years</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Month 9</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Month 3</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Lowest cash balance (AED M)</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(7.6) in month 36</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5.2 in month 8</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6.7 in month 2</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Cash runs out</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Month 15</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No</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No</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Marketing per new member, year one (AED)</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1,026</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300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100</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Lifetime value / marketing cost, year one</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1.3x</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5.8x</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19.9x</w:t>
            </w:r>
          </w:p>
        </w:tc>
      </w:tr>
    </w:tbl>
    <w:p>
      <w:pPr>
        <w:spacing w:after="120" w:before="60" w:line="250" w:lineRule="auto"/>
      </w:pPr>
      <w:r>
        <w:rPr>
          <w:rFonts w:ascii="Instrument Sans" w:cs="Instrument Sans" w:eastAsia="Instrument Sans" w:hAnsi="Instrument Sans"/>
          <w:color w:val="4A5E53"/>
          <w:sz w:val="16"/>
          <w:szCs w:val="16"/>
        </w:rPr>
        <w:t xml:space="preserve">Marketing per new member is all marketing spend divided by new individual members. Lifetime value is the contribution per member-month times the expected life of a member (16, 21 or 27 months), undiscounted.</w:t>
      </w:r>
    </w:p>
    <w:p>
      <w:pPr>
        <w:keepNext/>
        <w:spacing w:after="60" w:before="120"/>
      </w:pPr>
      <w:r>
        <w:drawing>
          <wp:inline distT="0" distB="0" distL="0" distR="0">
            <wp:extent cx="5905500" cy="2600325"/>
            <wp:effectExtent t="0" r="0" b="0" l="0"/>
            <wp:docPr id="2" name="Cash by case" descr="Cash balance by month for the Cautious, Base and Upside cases over 36 months" title="Cash by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2600325"/>
                    </a:xfrm>
                    <a:prstGeom prst="rect">
                      <a:avLst/>
                    </a:prstGeom>
                  </pic:spPr>
                </pic:pic>
              </a:graphicData>
            </a:graphic>
          </wp:inline>
        </w:drawing>
      </w:r>
    </w:p>
    <w:p>
      <w:pPr>
        <w:spacing w:after="120" w:before="0" w:line="250" w:lineRule="auto"/>
      </w:pPr>
      <w:r>
        <w:rPr>
          <w:rFonts w:ascii="Instrument Sans" w:cs="Instrument Sans" w:eastAsia="Instrument Sans" w:hAnsi="Instrument Sans"/>
          <w:color w:val="4A5E53"/>
          <w:sz w:val="16"/>
          <w:szCs w:val="16"/>
        </w:rPr>
        <w:t xml:space="preserve">Cash balance by month after the AED 7M raise. Upside reaches AED 92.5M by month 36.</w:t>
      </w:r>
    </w:p>
    <w:p>
      <w:pPr>
        <w:pStyle w:val="Heading2"/>
        <w:keepNext/>
      </w:pPr>
      <w:r>
        <w:rPr>
          <w:rFonts w:ascii="Instrument Sans SemiBold" w:cs="Instrument Sans SemiBold" w:eastAsia="Instrument Sans SemiBold" w:hAnsi="Instrument Sans SemiBold"/>
          <w:color w:val="13261D"/>
          <w:sz w:val="21"/>
          <w:szCs w:val="21"/>
        </w:rPr>
        <w:t xml:space="preserve">What the cases mean</w:t>
      </w:r>
    </w:p>
    <w:p>
      <w:pPr>
        <w:spacing w:after="100" w:before="0" w:line="250" w:lineRule="auto"/>
      </w:pPr>
      <w:r>
        <w:rPr>
          <w:rFonts w:ascii="Instrument Sans" w:cs="Instrument Sans" w:eastAsia="Instrument Sans" w:hAnsi="Instrument Sans"/>
          <w:color w:val="13261D"/>
          <w:sz w:val="20"/>
          <w:szCs w:val="20"/>
        </w:rPr>
        <w:t xml:space="preserve">The Base case loses AED 1.8M in year one, makes a monthly profit from month 9 and never takes cash below AED 5.2M. The Cautious case, with installs at AED 25 and 3% of them paying, spends about AED 1,030 of marketing for each new member, earns that back too slowly, and runs out of cash in month 15. The Upside case needs everything to go right at once: cheap installs, high conversion and as many members again from word of mouth. What decides between them is the cost per install and the conversion rate, which the first three months of paid campaigns will show. At AED 35 per install and 3% conversion, with Base settings otherwise, cash bottoms out at AED 0.1M.</w:t>
      </w:r>
    </w:p>
    <w:p>
      <w:pPr>
        <w:pStyle w:val="Heading2"/>
        <w:keepNext/>
      </w:pPr>
      <w:r>
        <w:rPr>
          <w:rFonts w:ascii="Instrument Sans SemiBold" w:cs="Instrument Sans SemiBold" w:eastAsia="Instrument Sans SemiBold" w:hAnsi="Instrument Sans SemiBold"/>
          <w:color w:val="13261D"/>
          <w:sz w:val="21"/>
          <w:szCs w:val="21"/>
        </w:rPr>
        <w:t xml:space="preserve">Key assumptions</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3412"/>
        <w:gridCol w:w="2000"/>
        <w:gridCol w:w="2000"/>
        <w:gridCol w:w="2000"/>
      </w:tblGrid>
      <w:tr>
        <w:trPr>
          <w:cantSplit/>
          <w:tblHeader/>
        </w:trPr>
        <w:tc>
          <w:tcPr>
            <w:tcW w:type="dxa" w:w="34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Assumption</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Cautious</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Base</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Upside</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Performance marketing a month</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AED 150k, 200k, 250k</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in years 1, 2, 3</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in all cases</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Cost per install (AED)</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25</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15</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Installs that become paying members</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3%</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8%</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Organic, PR and creator members, per paid member</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30%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100%</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Weekly / monthly payers who stop, a month</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15% / 8%</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12% / 6%</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 / 5%</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Annual members who renew</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70%</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Company seats a month (from month)</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100 (7)</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400 (5)</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1,000 (4)</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Insurance take-up (from month)</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 (9)</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15% (6)</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25% (4)</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Apple commission, year 1 / years 2-3</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15% / 20%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15% / 20%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30% / 25%</w:t>
            </w:r>
          </w:p>
        </w:tc>
      </w:tr>
    </w:tbl>
    <w:p>
      <w:pPr>
        <w:spacing w:after="120" w:before="60" w:line="250" w:lineRule="auto"/>
      </w:pPr>
      <w:r>
        <w:rPr>
          <w:rFonts w:ascii="Instrument Sans" w:cs="Instrument Sans" w:eastAsia="Instrument Sans" w:hAnsi="Instrument Sans"/>
          <w:color w:val="4A5E53"/>
          <w:sz w:val="16"/>
          <w:szCs w:val="16"/>
        </w:rPr>
        <w:t xml:space="preserve">Same in all cases: new members split 40% annual, 45% monthly and 15% weekly; dispatches for 1.5% of members a year; the legal referral and panel fee as in section 3; a 15% contingency on all operating costs.</w:t>
      </w:r>
    </w:p>
    <w:p>
      <w:pPr>
        <w:pStyle w:val="Heading2"/>
        <w:keepNext/>
      </w:pPr>
      <w:r>
        <w:rPr>
          <w:rFonts w:ascii="Instrument Sans SemiBold" w:cs="Instrument Sans SemiBold" w:eastAsia="Instrument Sans SemiBold" w:hAnsi="Instrument Sans SemiBold"/>
          <w:color w:val="13261D"/>
          <w:sz w:val="21"/>
          <w:szCs w:val="21"/>
        </w:rPr>
        <w:t xml:space="preserve">One member’s year</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3412"/>
        <w:gridCol w:w="1500"/>
        <w:gridCol w:w="1500"/>
        <w:gridCol w:w="1500"/>
        <w:gridCol w:w="1500"/>
      </w:tblGrid>
      <w:tr>
        <w:trPr>
          <w:cantSplit/>
          <w:tblHeader/>
        </w:trPr>
        <w:tc>
          <w:tcPr>
            <w:tcW w:type="dxa" w:w="34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AED a year</w:t>
            </w:r>
          </w:p>
        </w:tc>
        <w:tc>
          <w:tcPr>
            <w:tcW w:type="dxa" w:w="15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4A5E53"/>
                <w:sz w:val="16"/>
                <w:szCs w:val="16"/>
              </w:rPr>
              <w:t xml:space="preserve">Weekly</w:t>
            </w:r>
          </w:p>
        </w:tc>
        <w:tc>
          <w:tcPr>
            <w:tcW w:type="dxa" w:w="15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4A5E53"/>
                <w:sz w:val="16"/>
                <w:szCs w:val="16"/>
              </w:rPr>
              <w:t xml:space="preserve">Monthly</w:t>
            </w:r>
          </w:p>
        </w:tc>
        <w:tc>
          <w:tcPr>
            <w:tcW w:type="dxa" w:w="15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4A5E53"/>
                <w:sz w:val="16"/>
                <w:szCs w:val="16"/>
              </w:rPr>
              <w:t xml:space="preserve">Annual</w:t>
            </w:r>
          </w:p>
        </w:tc>
        <w:tc>
          <w:tcPr>
            <w:tcW w:type="dxa" w:w="15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4A5E53"/>
                <w:sz w:val="16"/>
                <w:szCs w:val="16"/>
              </w:rPr>
              <w:t xml:space="preserve">Company seat</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Price, VAT included</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1,304</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960</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750</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525</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less VAT</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(62)</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(46)</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(36)</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(25)</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less Apple at 15%</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(186)</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(137)</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(107)</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none</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Net to ELA</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1,056</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777</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607</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500</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less direct costs</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(66)</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(58)</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(53)</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(49)</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Contribution</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989</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719</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554</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451</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At Apple 30%: net</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869</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640</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500</w:t>
            </w:r>
          </w:p>
        </w:tc>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500</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At Apple 30%: contribution</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809</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586</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451</w:t>
            </w:r>
          </w:p>
        </w:tc>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451</w:t>
            </w:r>
          </w:p>
        </w:tc>
      </w:tr>
    </w:tbl>
    <w:p>
      <w:pPr>
        <w:spacing w:after="120" w:before="60" w:line="250" w:lineRule="auto"/>
      </w:pPr>
      <w:r>
        <w:rPr>
          <w:rFonts w:ascii="Instrument Sans" w:cs="Instrument Sans" w:eastAsia="Instrument Sans" w:hAnsi="Instrument Sans"/>
          <w:color w:val="4A5E53"/>
          <w:sz w:val="16"/>
          <w:szCs w:val="16"/>
        </w:rPr>
        <w:t xml:space="preserve">Direct costs per member-year: messages, codes and hosting (AED 24), refunds and chargebacks (3%), the ID check (AED 10, first year only) and calls on dispatch. ELA pays the law firms nothing. Insurance and referral commission come on top.</w:t>
      </w:r>
    </w:p>
    <w:p>
      <w:pPr>
        <w:pStyle w:val="Heading2"/>
        <w:keepNext/>
      </w:pPr>
      <w:r>
        <w:rPr>
          <w:rFonts w:ascii="Instrument Sans SemiBold" w:cs="Instrument Sans SemiBold" w:eastAsia="Instrument Sans SemiBold" w:hAnsi="Instrument Sans SemiBold"/>
          <w:color w:val="13261D"/>
          <w:sz w:val="21"/>
          <w:szCs w:val="21"/>
        </w:rPr>
        <w:t xml:space="preserve">Base case, year one: from bookings to result</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5412"/>
        <w:gridCol w:w="2000"/>
        <w:gridCol w:w="2000"/>
      </w:tblGrid>
      <w:tr>
        <w:trPr>
          <w:cantSplit/>
          <w:tblHeader/>
        </w:trPr>
        <w:tc>
          <w:tcPr>
            <w:tcW w:type="dxa" w:w="54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AED thousand</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4A5E53"/>
                <w:sz w:val="16"/>
                <w:szCs w:val="16"/>
              </w:rPr>
              <w:t xml:space="preserve">Base, year 1</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4A5E53"/>
                <w:sz w:val="16"/>
                <w:szCs w:val="16"/>
              </w:rPr>
              <w:t xml:space="preserve">Share of bookings</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Gross bookings, VAT included</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7,058</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100%</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less VAT</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(336)</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-5%</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less Apple commission</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(851)</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-12%</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Membership and company seats</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5,871</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83%</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plus insurance commission</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212</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3%</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plus legal referral commission</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128</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2%</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Net revenue</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6,211</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88%</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less direct costs</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(443)</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-6%</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Contribution</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5,768</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82%</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less marketing</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(2,880)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-41%</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less operations (24/7 desk)</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(210)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-3%</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less technology</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(1,600)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-23%</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less administration</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(1,820)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-26%</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less contingency (15%)</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(1,043)</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-15%</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Result</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(1,785)</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-25%</w:t>
            </w:r>
          </w:p>
        </w:tc>
      </w:tr>
    </w:tbl>
    <w:p>
      <w:pPr>
        <w:pStyle w:val="Heading2"/>
        <w:keepNext/>
      </w:pPr>
      <w:commentRangeStart w:id="22"/>
      <w:r>
        <w:rPr>
          <w:rFonts w:ascii="Instrument Sans SemiBold" w:cs="Instrument Sans SemiBold" w:eastAsia="Instrument Sans SemiBold" w:hAnsi="Instrument Sans SemiBold"/>
          <w:color w:val="13261D"/>
          <w:sz w:val="21"/>
          <w:szCs w:val="21"/>
        </w:rPr>
        <w:t xml:space="preserve">How these numbers changed</w:t>
      </w:r>
      <w:commentRangeEnd w:id="22"/>
      <w:r>
        <w:commentReference w:id="22"/>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Members.</w:t>
      </w:r>
      <w:r>
        <w:rPr>
          <w:rFonts w:ascii="Instrument Sans" w:cs="Instrument Sans" w:eastAsia="Instrument Sans" w:hAnsi="Instrument Sans"/>
          <w:color w:val="13261D"/>
          <w:sz w:val="20"/>
          <w:szCs w:val="20"/>
        </w:rPr>
        <w:t xml:space="preserve"> The July plan counted every member for the whole of year one, with no ramp. The Base case has about 11,000 at the end of year one, between the 7,000 and 20,000 in Jon’s notes of 28 July.</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Costs.</w:t>
      </w:r>
      <w:r>
        <w:rPr>
          <w:rFonts w:ascii="Instrument Sans" w:cs="Instrument Sans" w:eastAsia="Instrument Sans" w:hAnsi="Instrument Sans"/>
          <w:color w:val="13261D"/>
          <w:sz w:val="20"/>
          <w:szCs w:val="20"/>
        </w:rPr>
        <w:t xml:space="preserve"> Year-one costs rise from AED 4.62M to AED 8.0M in the Base case. New: AED 1.8M of performance marketing, App Store fees, member costs, a 24/7 desk, a delivery team at AED 1.2M and a 15% contingency.</w:t>
      </w:r>
    </w:p>
    <w:p>
      <w:pPr>
        <w:pStyle w:val="ListParagraph"/>
        <w:keepLines/>
        <w:numPr>
          <w:ilvl w:val="0"/>
          <w:numId w:val="2"/>
        </w:numPr>
        <w:spacing w:after="140" w:before="0" w:line="245" w:lineRule="auto"/>
      </w:pPr>
      <w:r>
        <w:rPr>
          <w:rFonts w:ascii="Instrument Sans SemiBold" w:cs="Instrument Sans SemiBold" w:eastAsia="Instrument Sans SemiBold" w:hAnsi="Instrument Sans SemiBold"/>
          <w:color w:val="13261D"/>
          <w:sz w:val="20"/>
          <w:szCs w:val="20"/>
        </w:rPr>
        <w:t xml:space="preserve">Result.</w:t>
      </w:r>
      <w:r>
        <w:rPr>
          <w:rFonts w:ascii="Instrument Sans" w:cs="Instrument Sans" w:eastAsia="Instrument Sans" w:hAnsi="Instrument Sans"/>
          <w:color w:val="13261D"/>
          <w:sz w:val="20"/>
          <w:szCs w:val="20"/>
        </w:rPr>
        <w:t xml:space="preserve"> From AED 241.38M of profit in year one to a loss of AED 1.8M, with a profit from year two (AED 4.5M).</w:t>
      </w:r>
    </w:p>
    <w:p>
      <w:pPr>
        <w:pStyle w:val="Heading2"/>
        <w:keepNext/>
      </w:pPr>
      <w:r>
        <w:rPr>
          <w:rFonts w:ascii="Instrument Sans SemiBold" w:cs="Instrument Sans SemiBold" w:eastAsia="Instrument Sans SemiBold" w:hAnsi="Instrument Sans SemiBold"/>
          <w:color w:val="13261D"/>
          <w:sz w:val="21"/>
          <w:szCs w:val="21"/>
        </w:rPr>
        <w:t xml:space="preserve">Year-one budget, Base case</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653"/>
        <w:gridCol w:w="700"/>
        <w:gridCol w:w="1653"/>
        <w:gridCol w:w="700"/>
        <w:gridCol w:w="1653"/>
        <w:gridCol w:w="700"/>
        <w:gridCol w:w="1653"/>
        <w:gridCol w:w="700"/>
      </w:tblGrid>
      <w:tr>
        <w:trPr>
          <w:cantSplit/>
          <w:tblHeader/>
        </w:trPr>
        <w:tc>
          <w:tcPr>
            <w:tcW w:type="dxa" w:w="1653"/>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Marketing</w:t>
            </w:r>
          </w:p>
        </w:tc>
        <w:tc>
          <w:tcPr>
            <w:tcW w:type="dxa" w:w="7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AED k</w:t>
            </w:r>
          </w:p>
        </w:tc>
        <w:tc>
          <w:tcPr>
            <w:tcW w:type="dxa" w:w="1653"/>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Operations</w:t>
            </w:r>
          </w:p>
        </w:tc>
        <w:tc>
          <w:tcPr>
            <w:tcW w:type="dxa" w:w="7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AED k</w:t>
            </w:r>
          </w:p>
        </w:tc>
        <w:tc>
          <w:tcPr>
            <w:tcW w:type="dxa" w:w="1653"/>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Technology</w:t>
            </w:r>
          </w:p>
        </w:tc>
        <w:tc>
          <w:tcPr>
            <w:tcW w:type="dxa" w:w="7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AED k</w:t>
            </w:r>
          </w:p>
        </w:tc>
        <w:tc>
          <w:tcPr>
            <w:tcW w:type="dxa" w:w="1653"/>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Administration</w:t>
            </w:r>
          </w:p>
        </w:tc>
        <w:tc>
          <w:tcPr>
            <w:tcW w:type="dxa" w:w="7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AED k</w:t>
            </w:r>
          </w:p>
        </w:tc>
      </w:tr>
      <w:tr>
        <w:trPr>
          <w:cantSplit/>
        </w:trPr>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Performance marketing</w:t>
            </w: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1,800</w:t>
            </w:r>
          </w:p>
        </w:tc>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commentRangeStart w:id="23"/>
            <w:r>
              <w:rPr>
                <w:rFonts w:ascii="Instrument Sans" w:cs="Instrument Sans" w:eastAsia="Instrument Sans" w:hAnsi="Instrument Sans"/>
                <w:color w:val="13261D"/>
                <w:sz w:val="16"/>
                <w:szCs w:val="16"/>
              </w:rPr>
              <w:t xml:space="preserve">24/7 desk</w:t>
            </w:r>
            <w:commentRangeEnd w:id="23"/>
            <w:r>
              <w:commentReference w:id="23"/>
            </w: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210</w:t>
            </w:r>
          </w:p>
        </w:tc>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commentRangeStart w:id="24"/>
            <w:r>
              <w:rPr>
                <w:rFonts w:ascii="Instrument Sans" w:cs="Instrument Sans" w:eastAsia="Instrument Sans" w:hAnsi="Instrument Sans"/>
                <w:color w:val="13261D"/>
                <w:sz w:val="16"/>
                <w:szCs w:val="16"/>
              </w:rPr>
              <w:t xml:space="preserve">Delivery team</w:t>
            </w:r>
            <w:commentRangeEnd w:id="24"/>
            <w:r>
              <w:commentReference w:id="24"/>
            </w: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1,200</w:t>
            </w:r>
          </w:p>
        </w:tc>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Personnel</w:t>
            </w: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600</w:t>
            </w:r>
          </w:p>
        </w:tc>
      </w:tr>
      <w:tr>
        <w:trPr>
          <w:cantSplit/>
        </w:trPr>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Helios AI agency</w:t>
            </w: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480</w:t>
            </w:r>
          </w:p>
        </w:tc>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Member costs</w:t>
            </w: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443</w:t>
            </w:r>
          </w:p>
        </w:tc>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Servers, cloud and licences</w:t>
            </w: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300</w:t>
            </w:r>
          </w:p>
        </w:tc>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Office</w:t>
            </w: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500</w:t>
            </w:r>
          </w:p>
        </w:tc>
      </w:tr>
      <w:tr>
        <w:trPr>
          <w:cantSplit/>
        </w:trPr>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Public relations</w:t>
            </w: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360</w:t>
            </w:r>
          </w:p>
        </w:tc>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p>
        </w:tc>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Equipment</w:t>
            </w: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100</w:t>
            </w:r>
          </w:p>
        </w:tc>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D&amp;O and PI insurance</w:t>
            </w: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100</w:t>
            </w:r>
          </w:p>
        </w:tc>
      </w:tr>
      <w:tr>
        <w:trPr>
          <w:cantSplit/>
        </w:trPr>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Creators and partnerships</w:t>
            </w: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240</w:t>
            </w:r>
          </w:p>
        </w:tc>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p>
        </w:tc>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p>
        </w:tc>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Board fees</w:t>
            </w: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480</w:t>
            </w:r>
          </w:p>
        </w:tc>
      </w:tr>
      <w:tr>
        <w:trPr>
          <w:cantSplit/>
        </w:trPr>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p>
        </w:tc>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p>
        </w:tc>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p>
        </w:tc>
        <w:tc>
          <w:tcPr>
            <w:tcW w:type="dxa" w:w="1653"/>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6"/>
                <w:szCs w:val="16"/>
              </w:rPr>
              <w:t xml:space="preserve">Legal and accounting</w:t>
            </w:r>
          </w:p>
        </w:tc>
        <w:tc>
          <w:tcPr>
            <w:tcW w:type="dxa" w:w="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140</w:t>
            </w:r>
          </w:p>
        </w:tc>
      </w:tr>
      <w:tr>
        <w:trPr>
          <w:cantSplit/>
        </w:trPr>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p>
        </w:tc>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p>
        </w:tc>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p>
        </w:tc>
        <w:tc>
          <w:tcPr>
            <w:tcW w:type="dxa" w:w="1653"/>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commentRangeStart w:id="25"/>
            <w:r>
              <w:rPr>
                <w:rFonts w:ascii="Instrument Sans" w:cs="Instrument Sans" w:eastAsia="Instrument Sans" w:hAnsi="Instrument Sans"/>
                <w:color w:val="13261D"/>
                <w:sz w:val="16"/>
                <w:szCs w:val="16"/>
              </w:rPr>
              <w:t xml:space="preserve">Founders’ salaries</w:t>
            </w:r>
            <w:commentRangeEnd w:id="25"/>
            <w:r>
              <w:commentReference w:id="25"/>
            </w:r>
          </w:p>
        </w:tc>
        <w:tc>
          <w:tcPr>
            <w:tcW w:type="dxa" w:w="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6"/>
                <w:szCs w:val="16"/>
              </w:rPr>
              <w:t xml:space="preserve">0</w:t>
            </w:r>
          </w:p>
        </w:tc>
      </w:tr>
      <w:tr>
        <w:trPr>
          <w:cantSplit/>
        </w:trPr>
        <w:tc>
          <w:tcPr>
            <w:tcW w:type="dxa" w:w="1653"/>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6"/>
                <w:szCs w:val="16"/>
              </w:rPr>
              <w:t xml:space="preserve">Marketing</w:t>
            </w:r>
          </w:p>
        </w:tc>
        <w:tc>
          <w:tcPr>
            <w:tcW w:type="dxa" w:w="7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2,880</w:t>
            </w:r>
          </w:p>
        </w:tc>
        <w:tc>
          <w:tcPr>
            <w:tcW w:type="dxa" w:w="1653"/>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6"/>
                <w:szCs w:val="16"/>
              </w:rPr>
              <w:t xml:space="preserve">Operations</w:t>
            </w:r>
          </w:p>
        </w:tc>
        <w:tc>
          <w:tcPr>
            <w:tcW w:type="dxa" w:w="7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653</w:t>
            </w:r>
          </w:p>
        </w:tc>
        <w:tc>
          <w:tcPr>
            <w:tcW w:type="dxa" w:w="1653"/>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6"/>
                <w:szCs w:val="16"/>
              </w:rPr>
              <w:t xml:space="preserve">Technology</w:t>
            </w:r>
          </w:p>
        </w:tc>
        <w:tc>
          <w:tcPr>
            <w:tcW w:type="dxa" w:w="7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1,600</w:t>
            </w:r>
          </w:p>
        </w:tc>
        <w:tc>
          <w:tcPr>
            <w:tcW w:type="dxa" w:w="1653"/>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6"/>
                <w:szCs w:val="16"/>
              </w:rPr>
              <w:t xml:space="preserve">Administration</w:t>
            </w:r>
          </w:p>
        </w:tc>
        <w:tc>
          <w:tcPr>
            <w:tcW w:type="dxa" w:w="7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6"/>
                <w:szCs w:val="16"/>
              </w:rPr>
              <w:t xml:space="preserve">1,820</w:t>
            </w:r>
          </w:p>
        </w:tc>
      </w:tr>
    </w:tbl>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5412"/>
        <w:gridCol w:w="2000"/>
        <w:gridCol w:w="2000"/>
      </w:tblGrid>
      <w:tr>
        <w:trPr>
          <w:cantSplit/>
          <w:tblHeader/>
        </w:trPr>
        <w:tc>
          <w:tcPr>
            <w:tcW w:type="dxa" w:w="54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AED k</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Share</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Marketing, operations, technology and administration</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6,953</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87%</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Contingency, 15% of all operating costs</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1,043</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13%</w:t>
            </w:r>
          </w:p>
        </w:tc>
      </w:tr>
      <w:tr>
        <w:trPr>
          <w:cantSplit/>
        </w:trPr>
        <w:tc>
          <w:tcPr>
            <w:tcW w:type="dxa" w:w="5412"/>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Year-one costs</w:t>
            </w:r>
          </w:p>
        </w:tc>
        <w:tc>
          <w:tcPr>
            <w:tcW w:type="dxa" w:w="20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8"/>
                <w:szCs w:val="18"/>
              </w:rPr>
              <w:t xml:space="preserve">7,996</w:t>
            </w:r>
          </w:p>
        </w:tc>
        <w:tc>
          <w:tcPr>
            <w:tcW w:type="dxa" w:w="20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8"/>
                <w:szCs w:val="18"/>
              </w:rPr>
              <w:t xml:space="preserve">100%</w:t>
            </w:r>
          </w:p>
        </w:tc>
      </w:tr>
    </w:tbl>
    <w:p>
      <w:pPr>
        <w:spacing w:after="120" w:before="60" w:line="250" w:lineRule="auto"/>
      </w:pPr>
      <w:r>
        <w:rPr>
          <w:rFonts w:ascii="Instrument Sans" w:cs="Instrument Sans" w:eastAsia="Instrument Sans" w:hAnsi="Instrument Sans"/>
          <w:color w:val="4A5E53"/>
          <w:sz w:val="16"/>
          <w:szCs w:val="16"/>
        </w:rPr>
        <w:t xml:space="preserve">Member costs are ID checks, messages, hosting, refunds and dispatch calls; they grow with members. Public relations is AED 40,000 a month for the first six months, then AED 20,000. Legal and accounting includes AED 50,000 once in month 1 for legal opinions, the entity and licences. Against these costs, the Base case earns AED 6.2M of net revenue in year one.</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6</w:t>
      </w:r>
      <w:r>
        <w:rPr>
          <w:rFonts w:ascii="Bricolage Grotesque SemiBold" w:cs="Bricolage Grotesque SemiBold" w:eastAsia="Bricolage Grotesque SemiBold" w:hAnsi="Bricolage Grotesque SemiBold"/>
          <w:color w:val="13261D"/>
          <w:sz w:val="30"/>
          <w:szCs w:val="30"/>
        </w:rPr>
        <w:t xml:space="preserve">   Team</w:t>
      </w:r>
    </w:p>
    <w:tbl>
      <w:tblPr>
        <w:tblW w:type="dxa" w:w="76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0"/>
        <w:gridCol w:w="1800"/>
        <w:gridCol w:w="700"/>
        <w:gridCol w:w="3300"/>
      </w:tblGrid>
      <w:tr>
        <w:trPr>
          <w:cantSplit/>
        </w:trPr>
        <w:tc>
          <w:tcPr>
            <w:gridSpan w:val="2"/>
            <w:tcBorders>
              <w:top w:val="single" w:color="0E8F5C" w:sz="8"/>
              <w:left w:val="single" w:color="0E8F5C" w:sz="8"/>
              <w:bottom w:val="single" w:color="0E8F5C" w:sz="8"/>
              <w:right w:val="single" w:color="0E8F5C" w:sz="8"/>
            </w:tcBorders>
            <w:shd w:fill="FBFDFB" w:color="auto" w:val="clear"/>
            <w:tcMar>
              <w:top w:type="dxa" w:w="110"/>
              <w:left w:type="dxa" w:w="120"/>
              <w:bottom w:type="dxa" w:w="110"/>
              <w:right w:type="dxa" w:w="120"/>
            </w:tcMar>
            <w:vAlign w:val="center"/>
          </w:tcPr>
          <w:p>
            <w:pPr>
              <w:spacing w:after="20" w:line="235" w:lineRule="auto"/>
              <w:jc w:val="center"/>
            </w:pPr>
            <w:commentRangeStart w:id="26"/>
            <w:r>
              <w:rPr>
                <w:rFonts w:ascii="Instrument Sans SemiBold" w:cs="Instrument Sans SemiBold" w:eastAsia="Instrument Sans SemiBold" w:hAnsi="Instrument Sans SemiBold"/>
                <w:color w:val="13261D"/>
                <w:sz w:val="21"/>
                <w:szCs w:val="21"/>
              </w:rPr>
              <w:t xml:space="preserve">Jonathan Simpson</w:t>
            </w:r>
            <w:commentRangeEnd w:id="26"/>
            <w:r>
              <w:commentReference w:id="26"/>
            </w:r>
          </w:p>
          <w:p>
            <w:pPr>
              <w:spacing w:after="0" w:line="235" w:lineRule="auto"/>
              <w:jc w:val="center"/>
            </w:pPr>
            <w:r>
              <w:rPr>
                <w:rFonts w:ascii="Instrument Sans" w:cs="Instrument Sans" w:eastAsia="Instrument Sans" w:hAnsi="Instrument Sans"/>
                <w:color w:val="4A5E53"/>
                <w:sz w:val="17"/>
                <w:szCs w:val="17"/>
              </w:rPr>
              <w:t xml:space="preserve">Chief Executive Officer</w:t>
            </w:r>
          </w:p>
        </w:tc>
        <w:tc>
          <w:tcPr>
            <w:tcBorders>
              <w:top w:val="none" w:color="FFFFFF" w:sz="0"/>
              <w:left w:val="none" w:color="FFFFFF" w:sz="0"/>
              <w:bottom w:val="none" w:color="FFFFFF" w:sz="0"/>
              <w:right w:val="none" w:color="FFFFFF" w:sz="0"/>
            </w:tcBorders>
            <w:tcMar>
              <w:top w:type="dxa" w:w="110"/>
              <w:left w:type="dxa" w:w="120"/>
              <w:bottom w:type="dxa" w:w="110"/>
              <w:right w:type="dxa" w:w="120"/>
            </w:tcMar>
            <w:vAlign w:val="center"/>
          </w:tcPr>
          <w:p/>
        </w:tc>
        <w:tc>
          <w:tcPr>
            <w:vMerge w:val="restart"/>
            <w:tcBorders>
              <w:top w:val="single" w:color="D3DDD6" w:sz="6"/>
              <w:left w:val="single" w:color="D3DDD6" w:sz="6"/>
              <w:bottom w:val="single" w:color="D3DDD6" w:sz="6"/>
              <w:right w:val="single" w:color="D3DDD6" w:sz="6"/>
            </w:tcBorders>
            <w:shd w:fill="F2F6F2" w:color="auto" w:val="clear"/>
            <w:tcMar>
              <w:top w:type="dxa" w:w="140"/>
              <w:left w:type="dxa" w:w="220"/>
              <w:bottom w:type="dxa" w:w="140"/>
              <w:right w:type="dxa" w:w="160"/>
            </w:tcMar>
            <w:vAlign w:val="center"/>
          </w:tcPr>
          <w:p>
            <w:pPr>
              <w:spacing w:after="100"/>
            </w:pPr>
            <w:r>
              <w:rPr>
                <w:rFonts w:ascii="Instrument Sans SemiBold" w:cs="Instrument Sans SemiBold" w:eastAsia="Instrument Sans SemiBold" w:hAnsi="Instrument Sans SemiBold"/>
                <w:color w:val="0B7549"/>
                <w:sz w:val="18"/>
                <w:szCs w:val="18"/>
              </w:rPr>
              <w:t xml:space="preserve">Advisors</w:t>
            </w:r>
          </w:p>
          <w:p>
            <w:pPr>
              <w:spacing w:after="70" w:line="235" w:lineRule="auto"/>
            </w:pPr>
            <w:commentRangeStart w:id="27"/>
            <w:r>
              <w:rPr>
                <w:rFonts w:ascii="Instrument Sans SemiBold" w:cs="Instrument Sans SemiBold" w:eastAsia="Instrument Sans SemiBold" w:hAnsi="Instrument Sans SemiBold"/>
                <w:color w:val="13261D"/>
                <w:sz w:val="20"/>
                <w:szCs w:val="20"/>
              </w:rPr>
              <w:t xml:space="preserve">Shaz Khan</w:t>
            </w:r>
            <w:commentRangeEnd w:id="27"/>
            <w:r>
              <w:commentReference w:id="27"/>
            </w:r>
          </w:p>
          <w:p>
            <w:pPr>
              <w:spacing w:after="70" w:line="235" w:lineRule="auto"/>
            </w:pPr>
            <w:r>
              <w:rPr>
                <w:rFonts w:ascii="Instrument Sans SemiBold" w:cs="Instrument Sans SemiBold" w:eastAsia="Instrument Sans SemiBold" w:hAnsi="Instrument Sans SemiBold"/>
                <w:color w:val="13261D"/>
                <w:sz w:val="20"/>
                <w:szCs w:val="20"/>
              </w:rPr>
              <w:t xml:space="preserve">Andrew Trower</w:t>
            </w:r>
          </w:p>
        </w:tc>
      </w:tr>
      <w:tr>
        <w:trPr>
          <w:trHeight w:val="340" w:hRule="exact"/>
        </w:trPr>
        <w:tc>
          <w:tcPr>
            <w:tcBorders>
              <w:top w:val="none" w:color="FFFFFF" w:sz="0"/>
              <w:left w:val="none" w:color="FFFFFF" w:sz="0"/>
              <w:bottom w:val="none" w:color="FFFFFF" w:sz="0"/>
              <w:right w:val="single" w:color="AFC1B5" w:sz="8"/>
            </w:tcBorders>
            <w:tcMar>
              <w:top w:type="dxa" w:w="0"/>
              <w:left w:type="dxa" w:w="0"/>
              <w:bottom w:type="dxa" w:w="0"/>
              <w:right w:type="dxa" w:w="0"/>
            </w:tcMar>
            <w:vAlign w:val="center"/>
          </w:tcPr>
          <w:p/>
        </w:tc>
        <w:tc>
          <w:tcPr>
            <w:tcBorders>
              <w:top w:val="none" w:color="FFFFFF" w:sz="0"/>
              <w:left w:val="none" w:color="FFFFFF" w:sz="0"/>
              <w:bottom w:val="none" w:color="FFFFFF" w:sz="0"/>
              <w:right w:val="none" w:color="FFFFFF" w:sz="0"/>
            </w:tcBorders>
            <w:tcMar>
              <w:top w:type="dxa" w:w="0"/>
              <w:left w:type="dxa" w:w="0"/>
              <w:bottom w:type="dxa" w:w="0"/>
              <w:right w:type="dxa" w:w="0"/>
            </w:tcMar>
            <w:vAlign w:val="center"/>
          </w:tcPr>
          <w:p/>
        </w:tc>
        <w:tc>
          <w:tcPr>
            <w:tcBorders>
              <w:top w:val="none" w:color="FFFFFF" w:sz="0"/>
              <w:left w:val="none" w:color="FFFFFF" w:sz="0"/>
              <w:bottom w:val="none" w:color="FFFFFF" w:sz="0"/>
              <w:right w:val="none" w:color="FFFFFF" w:sz="0"/>
            </w:tcBorders>
            <w:tcMar>
              <w:top w:type="dxa" w:w="0"/>
              <w:left w:type="dxa" w:w="0"/>
              <w:bottom w:type="dxa" w:w="0"/>
              <w:right w:type="dxa" w:w="0"/>
            </w:tcMar>
            <w:vAlign w:val="center"/>
          </w:tcPr>
          <w:p/>
        </w:tc>
        <w:tc>
          <w:tcPr>
            <w:vMerge w:val="continue"/>
            <w:tcBorders>
              <w:top w:val="single" w:color="D3DDD6" w:sz="6"/>
              <w:left w:val="single" w:color="D3DDD6" w:sz="6"/>
              <w:bottom w:val="single" w:color="D3DDD6" w:sz="6"/>
              <w:right w:val="single" w:color="D3DDD6" w:sz="6"/>
            </w:tcBorders>
          </w:tcPr>
          <w:p/>
        </w:tc>
      </w:tr>
      <w:tr>
        <w:trPr>
          <w:cantSplit/>
        </w:trPr>
        <w:tc>
          <w:tcPr>
            <w:gridSpan w:val="2"/>
            <w:tcBorders>
              <w:top w:val="single" w:color="0E8F5C" w:sz="8"/>
              <w:left w:val="single" w:color="0E8F5C" w:sz="8"/>
              <w:bottom w:val="single" w:color="0E8F5C" w:sz="8"/>
              <w:right w:val="single" w:color="0E8F5C" w:sz="8"/>
            </w:tcBorders>
            <w:shd w:fill="FBFDFB" w:color="auto" w:val="clear"/>
            <w:tcMar>
              <w:top w:type="dxa" w:w="110"/>
              <w:left w:type="dxa" w:w="120"/>
              <w:bottom w:type="dxa" w:w="110"/>
              <w:right w:type="dxa" w:w="120"/>
            </w:tcMar>
            <w:vAlign w:val="center"/>
          </w:tcPr>
          <w:p>
            <w:pPr>
              <w:spacing w:after="20" w:line="235" w:lineRule="auto"/>
              <w:jc w:val="center"/>
            </w:pPr>
            <w:commentRangeStart w:id="28"/>
            <w:r>
              <w:rPr>
                <w:rFonts w:ascii="Instrument Sans SemiBold" w:cs="Instrument Sans SemiBold" w:eastAsia="Instrument Sans SemiBold" w:hAnsi="Instrument Sans SemiBold"/>
                <w:color w:val="13261D"/>
                <w:sz w:val="21"/>
                <w:szCs w:val="21"/>
              </w:rPr>
              <w:t xml:space="preserve">Stevan Litobac</w:t>
            </w:r>
            <w:commentRangeEnd w:id="28"/>
            <w:r>
              <w:commentReference w:id="28"/>
            </w:r>
          </w:p>
          <w:p>
            <w:pPr>
              <w:spacing w:after="0" w:line="235" w:lineRule="auto"/>
              <w:jc w:val="center"/>
            </w:pPr>
            <w:r>
              <w:rPr>
                <w:rFonts w:ascii="Instrument Sans" w:cs="Instrument Sans" w:eastAsia="Instrument Sans" w:hAnsi="Instrument Sans"/>
                <w:color w:val="4A5E53"/>
                <w:sz w:val="17"/>
                <w:szCs w:val="17"/>
              </w:rPr>
              <w:t xml:space="preserve">Chief Operating Officer</w:t>
            </w:r>
          </w:p>
        </w:tc>
        <w:tc>
          <w:tcPr>
            <w:tcBorders>
              <w:top w:val="none" w:color="FFFFFF" w:sz="0"/>
              <w:left w:val="none" w:color="FFFFFF" w:sz="0"/>
              <w:bottom w:val="none" w:color="FFFFFF" w:sz="0"/>
              <w:right w:val="none" w:color="FFFFFF" w:sz="0"/>
            </w:tcBorders>
            <w:tcMar>
              <w:top w:type="dxa" w:w="110"/>
              <w:left w:type="dxa" w:w="120"/>
              <w:bottom w:type="dxa" w:w="110"/>
              <w:right w:type="dxa" w:w="120"/>
            </w:tcMar>
            <w:vAlign w:val="center"/>
          </w:tcPr>
          <w:p/>
        </w:tc>
        <w:tc>
          <w:tcPr>
            <w:tcBorders>
              <w:top w:val="single" w:color="D3DDD6" w:sz="6"/>
              <w:left w:val="single" w:color="D3DDD6" w:sz="6"/>
              <w:bottom w:val="single" w:color="D3DDD6" w:sz="6"/>
              <w:right w:val="single" w:color="D3DDD6" w:sz="6"/>
            </w:tcBorders>
            <w:shd w:fill="F2F6F2" w:color="auto" w:val="clear"/>
            <w:tcMar>
              <w:top w:type="dxa" w:w="140"/>
              <w:left w:type="dxa" w:w="220"/>
              <w:bottom w:type="dxa" w:w="140"/>
              <w:right w:type="dxa" w:w="160"/>
            </w:tcMar>
            <w:vAlign w:val="center"/>
          </w:tcPr>
          <w:p>
            <w:pPr>
              <w:spacing w:after="100"/>
            </w:pPr>
            <w:r>
              <w:rPr>
                <w:rFonts w:ascii="Instrument Sans SemiBold" w:cs="Instrument Sans SemiBold" w:eastAsia="Instrument Sans SemiBold" w:hAnsi="Instrument Sans SemiBold"/>
                <w:color w:val="0B7549"/>
                <w:sz w:val="18"/>
                <w:szCs w:val="18"/>
              </w:rPr>
              <w:t xml:space="preserve">TBC</w:t>
            </w:r>
          </w:p>
          <w:p>
            <w:pPr>
              <w:spacing w:after="70" w:line="235" w:lineRule="auto"/>
            </w:pPr>
            <w:r>
              <w:rPr>
                <w:rFonts w:ascii="Instrument Sans SemiBold" w:cs="Instrument Sans SemiBold" w:eastAsia="Instrument Sans SemiBold" w:hAnsi="Instrument Sans SemiBold"/>
                <w:color w:val="13261D"/>
                <w:sz w:val="20"/>
                <w:szCs w:val="20"/>
              </w:rPr>
              <w:t xml:space="preserve">Anna</w:t>
            </w:r>
          </w:p>
        </w:tc>
      </w:tr>
    </w:tbl>
    <w:p>
      <w:pPr>
        <w:spacing w:after="160" w:before="0" w:line="120" w:lineRule="auto"/>
      </w:pP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Jonathan Simpson, CEO:</w:t>
      </w:r>
      <w:r>
        <w:rPr>
          <w:rFonts w:ascii="Instrument Sans" w:cs="Instrument Sans" w:eastAsia="Instrument Sans" w:hAnsi="Instrument Sans"/>
          <w:color w:val="13261D"/>
          <w:sz w:val="20"/>
          <w:szCs w:val="20"/>
        </w:rPr>
        <w:t xml:space="preserve"> leads the negotiations with law firms, insurers and brokers, and the business and financial plans.</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Stevan Litobac, COO:</w:t>
      </w:r>
      <w:r>
        <w:rPr>
          <w:rFonts w:ascii="Instrument Sans" w:cs="Instrument Sans" w:eastAsia="Instrument Sans" w:hAnsi="Instrument Sans"/>
          <w:color w:val="13261D"/>
          <w:sz w:val="20"/>
          <w:szCs w:val="20"/>
        </w:rPr>
        <w:t xml:space="preserve"> product, technology and operations; built the product.</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Advisors:</w:t>
      </w:r>
      <w:r>
        <w:rPr>
          <w:rFonts w:ascii="Instrument Sans" w:cs="Instrument Sans" w:eastAsia="Instrument Sans" w:hAnsi="Instrument Sans"/>
          <w:color w:val="13261D"/>
          <w:sz w:val="20"/>
          <w:szCs w:val="20"/>
        </w:rPr>
        <w:t xml:space="preserve"> Shaz Khan and Andrew Trower.</w:t>
      </w:r>
    </w:p>
    <w:p>
      <w:pPr>
        <w:pStyle w:val="ListParagraph"/>
        <w:keepLines/>
        <w:numPr>
          <w:ilvl w:val="0"/>
          <w:numId w:val="2"/>
        </w:numPr>
        <w:spacing w:after="140" w:before="0" w:line="245" w:lineRule="auto"/>
      </w:pPr>
      <w:r>
        <w:rPr>
          <w:rFonts w:ascii="Instrument Sans SemiBold" w:cs="Instrument Sans SemiBold" w:eastAsia="Instrument Sans SemiBold" w:hAnsi="Instrument Sans SemiBold"/>
          <w:color w:val="13261D"/>
          <w:sz w:val="20"/>
          <w:szCs w:val="20"/>
        </w:rPr>
        <w:t xml:space="preserve">TBC:</w:t>
      </w:r>
      <w:r>
        <w:rPr>
          <w:rFonts w:ascii="Instrument Sans" w:cs="Instrument Sans" w:eastAsia="Instrument Sans" w:hAnsi="Instrument Sans"/>
          <w:color w:val="13261D"/>
          <w:sz w:val="20"/>
          <w:szCs w:val="20"/>
        </w:rPr>
        <w:t xml:space="preserve"> Anna.</w:t>
      </w:r>
    </w:p>
    <w:p>
      <w:pPr>
        <w:pStyle w:val="Heading2"/>
        <w:keepNext/>
      </w:pPr>
      <w:r>
        <w:rPr>
          <w:rFonts w:ascii="Instrument Sans SemiBold" w:cs="Instrument Sans SemiBold" w:eastAsia="Instrument Sans SemiBold" w:hAnsi="Instrument Sans SemiBold"/>
          <w:color w:val="13261D"/>
          <w:sz w:val="21"/>
          <w:szCs w:val="21"/>
        </w:rPr>
        <w:t xml:space="preserve">The delivery team we need: </w:t>
      </w:r>
      <w:commentRangeStart w:id="29"/>
      <w:r>
        <w:rPr>
          <w:rFonts w:ascii="Instrument Sans SemiBold" w:cs="Instrument Sans SemiBold" w:eastAsia="Instrument Sans SemiBold" w:hAnsi="Instrument Sans SemiBold"/>
          <w:color w:val="13261D"/>
          <w:sz w:val="21"/>
          <w:szCs w:val="21"/>
        </w:rPr>
        <w:t xml:space="preserve">a development partner, part cash, part equity, under evaluation</w:t>
      </w:r>
      <w:commentRangeEnd w:id="29"/>
      <w:r>
        <w:commentReference w:id="29"/>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2650"/>
        <w:gridCol w:w="2330"/>
        <w:gridCol w:w="3632"/>
        <w:gridCol w:w="800"/>
      </w:tblGrid>
      <w:tr>
        <w:trPr>
          <w:cantSplit/>
          <w:tblHeader/>
        </w:trPr>
        <w:tc>
          <w:tcPr>
            <w:tcW w:type="dxa" w:w="265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Role</w:t>
            </w:r>
          </w:p>
        </w:tc>
        <w:tc>
          <w:tcPr>
            <w:tcW w:type="dxa" w:w="233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Load</w:t>
            </w:r>
          </w:p>
        </w:tc>
        <w:tc>
          <w:tcPr>
            <w:tcW w:type="dxa" w:w="363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Covers</w:t>
            </w:r>
          </w:p>
        </w:tc>
        <w:tc>
          <w:tcPr>
            <w:tcW w:type="dxa" w:w="8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center"/>
            </w:pPr>
            <w:r>
              <w:rPr>
                <w:rFonts w:ascii="Instrument Sans SemiBold" w:cs="Instrument Sans SemiBold" w:eastAsia="Instrument Sans SemiBold" w:hAnsi="Instrument Sans SemiBold"/>
                <w:color w:val="4A5E53"/>
                <w:sz w:val="16"/>
                <w:szCs w:val="16"/>
              </w:rPr>
              <w:t xml:space="preserve">Priority</w:t>
            </w:r>
          </w:p>
        </w:tc>
      </w:tr>
      <w:tr>
        <w:trPr>
          <w:cantSplit/>
        </w:trPr>
        <w:tc>
          <w:tcPr>
            <w:tcW w:type="dxa" w:w="26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Lead engineer (full-stack TypeScript, a named person)</w:t>
            </w:r>
          </w:p>
        </w:tc>
        <w:tc>
          <w:tcPr>
            <w:tcW w:type="dxa" w:w="233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Full time, about 160 hours a month</w:t>
            </w:r>
          </w:p>
        </w:tc>
        <w:tc>
          <w:tcPr>
            <w:tcW w:type="dxa" w:w="363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App and watch (with AI tools), server, database, operations console, releases</w:t>
            </w:r>
          </w:p>
        </w:tc>
        <w:tc>
          <w:tcPr>
            <w:tcW w:type="dxa" w:w="8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1</w:t>
            </w:r>
          </w:p>
        </w:tc>
      </w:tr>
      <w:tr>
        <w:trPr>
          <w:cantSplit/>
        </w:trPr>
        <w:tc>
          <w:tcPr>
            <w:tcW w:type="dxa" w:w="26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Backup engineer (part time)</w:t>
            </w:r>
          </w:p>
        </w:tc>
        <w:tc>
          <w:tcPr>
            <w:tcW w:type="dxa" w:w="233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40 hours a month, guaranteed</w:t>
            </w:r>
          </w:p>
        </w:tc>
        <w:tc>
          <w:tcPr>
            <w:tcW w:type="dxa" w:w="363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Cover for the lead, on-call</w:t>
            </w:r>
          </w:p>
        </w:tc>
        <w:tc>
          <w:tcPr>
            <w:tcW w:type="dxa" w:w="8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1</w:t>
            </w:r>
          </w:p>
        </w:tc>
      </w:tr>
      <w:tr>
        <w:trPr>
          <w:cantSplit/>
        </w:trPr>
        <w:tc>
          <w:tcPr>
            <w:tcW w:type="dxa" w:w="26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UI designer</w:t>
            </w:r>
          </w:p>
        </w:tc>
        <w:tc>
          <w:tcPr>
            <w:tcW w:type="dxa" w:w="233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About 25 hours a month, 60 around launch</w:t>
            </w:r>
          </w:p>
        </w:tc>
        <w:tc>
          <w:tcPr>
            <w:tcW w:type="dxa" w:w="363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App screens and marketing design</w:t>
            </w:r>
          </w:p>
        </w:tc>
        <w:tc>
          <w:tcPr>
            <w:tcW w:type="dxa" w:w="8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1</w:t>
            </w:r>
          </w:p>
        </w:tc>
      </w:tr>
      <w:tr>
        <w:trPr>
          <w:cantSplit/>
        </w:trPr>
        <w:tc>
          <w:tcPr>
            <w:tcW w:type="dxa" w:w="26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DevOps</w:t>
            </w:r>
          </w:p>
        </w:tc>
        <w:tc>
          <w:tcPr>
            <w:tcW w:type="dxa" w:w="233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About 25 hours a month from day one</w:t>
            </w:r>
          </w:p>
        </w:tc>
        <w:tc>
          <w:tcPr>
            <w:tcW w:type="dxa" w:w="363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Monitoring, alerts, backups, deploys. The lead engineer sets up the launch essentials.</w:t>
            </w:r>
          </w:p>
        </w:tc>
        <w:tc>
          <w:tcPr>
            <w:tcW w:type="dxa" w:w="8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2</w:t>
            </w:r>
          </w:p>
        </w:tc>
      </w:tr>
      <w:tr>
        <w:trPr>
          <w:cantSplit/>
        </w:trPr>
        <w:tc>
          <w:tcPr>
            <w:tcW w:type="dxa" w:w="26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Project coordination</w:t>
            </w:r>
          </w:p>
        </w:tc>
        <w:tc>
          <w:tcPr>
            <w:tcW w:type="dxa" w:w="233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About 15 hours a month</w:t>
            </w:r>
          </w:p>
        </w:tc>
        <w:tc>
          <w:tcPr>
            <w:tcW w:type="dxa" w:w="363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Planning, keeping documentation current</w:t>
            </w:r>
          </w:p>
        </w:tc>
        <w:tc>
          <w:tcPr>
            <w:tcW w:type="dxa" w:w="8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3</w:t>
            </w:r>
          </w:p>
        </w:tc>
      </w:tr>
      <w:tr>
        <w:trPr>
          <w:cantSplit/>
        </w:trPr>
        <w:tc>
          <w:tcPr>
            <w:tcW w:type="dxa" w:w="26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Second full-time engineer</w:t>
            </w:r>
          </w:p>
        </w:tc>
        <w:tc>
          <w:tcPr>
            <w:tcW w:type="dxa" w:w="233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Full time, from a trigger (below)</w:t>
            </w:r>
          </w:p>
        </w:tc>
        <w:tc>
          <w:tcPr>
            <w:tcW w:type="dxa" w:w="363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More capacity as members grow</w:t>
            </w:r>
          </w:p>
        </w:tc>
        <w:tc>
          <w:tcPr>
            <w:tcW w:type="dxa" w:w="8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3</w:t>
            </w:r>
          </w:p>
        </w:tc>
      </w:tr>
      <w:tr>
        <w:trPr>
          <w:cantSplit/>
        </w:trPr>
        <w:tc>
          <w:tcPr>
            <w:tcW w:type="dxa" w:w="26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Technical support, first line</w:t>
            </w:r>
          </w:p>
        </w:tc>
        <w:tc>
          <w:tcPr>
            <w:tcW w:type="dxa" w:w="233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As volume needs</w:t>
            </w:r>
          </w:p>
        </w:tc>
        <w:tc>
          <w:tcPr>
            <w:tcW w:type="dxa" w:w="363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App, account and payment questions; passes problems to engineering</w:t>
            </w:r>
          </w:p>
        </w:tc>
        <w:tc>
          <w:tcPr>
            <w:tcW w:type="dxa" w:w="8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3</w:t>
            </w:r>
          </w:p>
        </w:tc>
      </w:tr>
    </w:tbl>
    <w:p>
      <w:pPr>
        <w:spacing w:after="120" w:before="60" w:line="250" w:lineRule="auto"/>
      </w:pPr>
      <w:r>
        <w:rPr>
          <w:rFonts w:ascii="Instrument Sans" w:cs="Instrument Sans" w:eastAsia="Instrument Sans" w:hAnsi="Instrument Sans"/>
          <w:color w:val="4A5E53"/>
          <w:sz w:val="16"/>
          <w:szCs w:val="16"/>
        </w:rPr>
        <w:t xml:space="preserve">Priority 1: in place before launch. Priority 2: part time from launch. Priority 3: added as members grow. The second full-time engineer starts at whichever comes first: 90 days after soft launch, about 2,000 members, or two months running above 120% of planned hours. The budget for the delivery team is AED 1.2M for 12 months (AED 100,000 a month), about double the July plan’s AED 600,000, to allow for agency rates and the second engineer.</w:t>
      </w:r>
    </w:p>
    <w:p>
      <w:pPr>
        <w:pStyle w:val="Heading2"/>
        <w:keepNext/>
      </w:pPr>
      <w:r>
        <w:rPr>
          <w:rFonts w:ascii="Instrument Sans SemiBold" w:cs="Instrument Sans SemiBold" w:eastAsia="Instrument Sans SemiBold" w:hAnsi="Instrument Sans SemiBold"/>
          <w:color w:val="13261D"/>
          <w:sz w:val="21"/>
          <w:szCs w:val="21"/>
        </w:rPr>
        <w:t xml:space="preserve">Operations cover: a 24/7 response desk</w:t>
      </w:r>
    </w:p>
    <w:p>
      <w:pPr>
        <w:keepNext/>
        <w:spacing w:after="100" w:before="0" w:line="250" w:lineRule="auto"/>
      </w:pPr>
      <w:r>
        <w:rPr>
          <w:rFonts w:ascii="Instrument Sans" w:cs="Instrument Sans" w:eastAsia="Instrument Sans" w:hAnsi="Instrument Sans"/>
          <w:color w:val="13261D"/>
          <w:sz w:val="20"/>
          <w:szCs w:val="20"/>
        </w:rPr>
        <w:t xml:space="preserve">Cases can start at any hour. ELA operations picks up each new case, chases the law firm until one accepts, keeps the member and their family informed, and checks the outcome before the case closes. The desk grows with members in two stages, trained on our procedures and working in our operations console, with ELA’s own operations team behind it. It now has its own budget line (section 5).</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2650"/>
        <w:gridCol w:w="2330"/>
        <w:gridCol w:w="3632"/>
        <w:gridCol w:w="800"/>
      </w:tblGrid>
      <w:tr>
        <w:trPr>
          <w:cantSplit/>
          <w:tblHeader/>
        </w:trPr>
        <w:tc>
          <w:tcPr>
            <w:tcW w:type="dxa" w:w="265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Role</w:t>
            </w:r>
          </w:p>
        </w:tc>
        <w:tc>
          <w:tcPr>
            <w:tcW w:type="dxa" w:w="233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Load</w:t>
            </w:r>
          </w:p>
        </w:tc>
        <w:tc>
          <w:tcPr>
            <w:tcW w:type="dxa" w:w="363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Covers</w:t>
            </w:r>
          </w:p>
        </w:tc>
        <w:tc>
          <w:tcPr>
            <w:tcW w:type="dxa" w:w="8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center"/>
            </w:pPr>
            <w:r>
              <w:rPr>
                <w:rFonts w:ascii="Instrument Sans SemiBold" w:cs="Instrument Sans SemiBold" w:eastAsia="Instrument Sans SemiBold" w:hAnsi="Instrument Sans SemiBold"/>
                <w:color w:val="4A5E53"/>
                <w:sz w:val="16"/>
                <w:szCs w:val="16"/>
              </w:rPr>
              <w:t xml:space="preserve">Priority</w:t>
            </w:r>
          </w:p>
        </w:tc>
      </w:tr>
      <w:tr>
        <w:trPr>
          <w:cantSplit/>
        </w:trPr>
        <w:tc>
          <w:tcPr>
            <w:tcW w:type="dxa" w:w="26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Stage 1: on-call desk</w:t>
            </w:r>
          </w:p>
        </w:tc>
        <w:tc>
          <w:tcPr>
            <w:tcW w:type="dxa" w:w="233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While active members are under 10,000. AED 15,000 a month</w:t>
            </w:r>
          </w:p>
        </w:tc>
        <w:tc>
          <w:tcPr>
            <w:tcW w:type="dxa" w:w="363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One daytime operator, plus a paid night and weekend on-call rota or answering service, alerted by the console</w:t>
            </w:r>
          </w:p>
        </w:tc>
        <w:tc>
          <w:tcPr>
            <w:tcW w:type="dxa" w:w="8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1</w:t>
            </w:r>
          </w:p>
        </w:tc>
      </w:tr>
      <w:tr>
        <w:trPr>
          <w:cantSplit/>
        </w:trPr>
        <w:tc>
          <w:tcPr>
            <w:tcW w:type="dxa" w:w="26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commentRangeStart w:id="30"/>
            <w:r>
              <w:rPr>
                <w:rFonts w:ascii="Instrument Sans SemiBold" w:cs="Instrument Sans SemiBold" w:eastAsia="Instrument Sans SemiBold" w:hAnsi="Instrument Sans SemiBold"/>
                <w:color w:val="13261D"/>
                <w:sz w:val="18"/>
                <w:szCs w:val="18"/>
              </w:rPr>
              <w:t xml:space="preserve">Stage 2: staffed seats</w:t>
            </w:r>
            <w:commentRangeEnd w:id="30"/>
            <w:r>
              <w:commentReference w:id="30"/>
            </w:r>
          </w:p>
        </w:tc>
        <w:tc>
          <w:tcPr>
            <w:tcW w:type="dxa" w:w="233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From 10,000 active members. AED 30,000 per seat a month, to be quoted</w:t>
            </w:r>
          </w:p>
        </w:tc>
        <w:tc>
          <w:tcPr>
            <w:tcW w:type="dxa" w:w="363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About five agents per seat for round-the-clock cover; one more seat for every further 30,000 members. Base case: from month 11</w:t>
            </w:r>
          </w:p>
        </w:tc>
        <w:tc>
          <w:tcPr>
            <w:tcW w:type="dxa" w:w="8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2</w:t>
            </w:r>
          </w:p>
        </w:tc>
      </w:tr>
    </w:tbl>
    <w:p>
      <w:pPr>
        <w:pStyle w:val="Heading1"/>
        <w:keepNext/>
        <w:keepLines/>
      </w:pPr>
      <w:r>
        <w:rPr>
          <w:rFonts w:ascii="Bricolage Grotesque SemiBold" w:cs="Bricolage Grotesque SemiBold" w:eastAsia="Bricolage Grotesque SemiBold" w:hAnsi="Bricolage Grotesque SemiBold"/>
          <w:color w:val="0E8F5C"/>
          <w:sz w:val="30"/>
          <w:szCs w:val="30"/>
        </w:rPr>
        <w:t xml:space="preserve">7</w:t>
      </w:r>
      <w:r>
        <w:rPr>
          <w:rFonts w:ascii="Bricolage Grotesque SemiBold" w:cs="Bricolage Grotesque SemiBold" w:eastAsia="Bricolage Grotesque SemiBold" w:hAnsi="Bricolage Grotesque SemiBold"/>
          <w:color w:val="13261D"/>
          <w:sz w:val="30"/>
          <w:szCs w:val="30"/>
        </w:rPr>
        <w:t xml:space="preserve">   Invested to date</w:t>
      </w:r>
    </w:p>
    <w:p>
      <w:pPr>
        <w:keepNext/>
        <w:spacing w:after="100" w:before="0" w:line="250" w:lineRule="auto"/>
      </w:pPr>
      <w:r>
        <w:rPr>
          <w:rFonts w:ascii="Instrument Sans" w:cs="Instrument Sans" w:eastAsia="Instrument Sans" w:hAnsi="Instrument Sans"/>
          <w:color w:val="13261D"/>
          <w:sz w:val="20"/>
          <w:szCs w:val="20"/>
        </w:rPr>
        <w:t xml:space="preserve">Built May to September 2026 by our COO directing AI coding agents: iPhone and Android apps, an Apple Watch companion, a dispatch server, an operations console and payments.</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900"/>
        <w:gridCol w:w="5150"/>
        <w:gridCol w:w="2362"/>
      </w:tblGrid>
      <w:tr>
        <w:trPr>
          <w:cantSplit/>
          <w:tblHeader/>
        </w:trPr>
        <w:tc>
          <w:tcPr>
            <w:tcW w:type="dxa" w:w="19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What</w:t>
            </w:r>
          </w:p>
        </w:tc>
        <w:tc>
          <w:tcPr>
            <w:tcW w:type="dxa" w:w="515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Basis</w:t>
            </w:r>
          </w:p>
        </w:tc>
        <w:tc>
          <w:tcPr>
            <w:tcW w:type="dxa" w:w="236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4A5E53"/>
                <w:sz w:val="16"/>
                <w:szCs w:val="16"/>
              </w:rPr>
              <w:t xml:space="preserve">Value (AED)</w:t>
            </w:r>
          </w:p>
        </w:tc>
      </w:tr>
      <w:tr>
        <w:trPr>
          <w:cantSplit/>
        </w:trPr>
        <w:tc>
          <w:tcPr>
            <w:tcW w:type="dxa" w:w="1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31"/>
            <w:r>
              <w:rPr>
                <w:rFonts w:ascii="Instrument Sans SemiBold" w:cs="Instrument Sans SemiBold" w:eastAsia="Instrument Sans SemiBold" w:hAnsi="Instrument Sans SemiBold"/>
                <w:color w:val="13261D"/>
                <w:sz w:val="18"/>
                <w:szCs w:val="18"/>
              </w:rPr>
              <w:t xml:space="preserve">COO time (sweat equity)</w:t>
            </w:r>
            <w:commentRangeEnd w:id="31"/>
            <w:r>
              <w:commentReference w:id="31"/>
            </w:r>
          </w:p>
        </w:tc>
        <w:tc>
          <w:tcPr>
            <w:tcW w:type="dxa" w:w="51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About 600 hours from 7 May to 30 September 2026, including long runs of full days, valued at his salary rate.</w:t>
            </w:r>
          </w:p>
        </w:tc>
        <w:tc>
          <w:tcPr>
            <w:tcW w:type="dxa" w:w="23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about 180,000</w:t>
            </w:r>
          </w:p>
        </w:tc>
      </w:tr>
      <w:tr>
        <w:trPr>
          <w:cantSplit/>
        </w:trPr>
        <w:tc>
          <w:tcPr>
            <w:tcW w:type="dxa" w:w="1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commentRangeStart w:id="32"/>
            <w:r>
              <w:rPr>
                <w:rFonts w:ascii="Instrument Sans SemiBold" w:cs="Instrument Sans SemiBold" w:eastAsia="Instrument Sans SemiBold" w:hAnsi="Instrument Sans SemiBold"/>
                <w:color w:val="13261D"/>
                <w:sz w:val="18"/>
                <w:szCs w:val="18"/>
              </w:rPr>
              <w:t xml:space="preserve">CEO time (sweat equity)</w:t>
            </w:r>
            <w:commentRangeEnd w:id="32"/>
            <w:r>
              <w:commentReference w:id="32"/>
            </w:r>
          </w:p>
        </w:tc>
        <w:tc>
          <w:tcPr>
            <w:tcW w:type="dxa" w:w="51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Meetings and negotiations with law firms, insurers and brokers since May.</w:t>
            </w:r>
          </w:p>
        </w:tc>
        <w:tc>
          <w:tcPr>
            <w:tcW w:type="dxa" w:w="236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TBD</w:t>
            </w:r>
          </w:p>
        </w:tc>
      </w:tr>
      <w:tr>
        <w:trPr>
          <w:cantSplit/>
        </w:trPr>
        <w:tc>
          <w:tcPr>
            <w:tcW w:type="dxa" w:w="1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33"/>
            <w:r>
              <w:rPr>
                <w:rFonts w:ascii="Instrument Sans SemiBold" w:cs="Instrument Sans SemiBold" w:eastAsia="Instrument Sans SemiBold" w:hAnsi="Instrument Sans SemiBold"/>
                <w:color w:val="13261D"/>
                <w:sz w:val="18"/>
                <w:szCs w:val="18"/>
              </w:rPr>
              <w:t xml:space="preserve">Cash spent</w:t>
            </w:r>
            <w:commentRangeEnd w:id="33"/>
            <w:r>
              <w:commentReference w:id="33"/>
            </w:r>
          </w:p>
        </w:tc>
        <w:tc>
          <w:tcPr>
            <w:tcW w:type="dxa" w:w="51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AI development tools (Claude and Codex), servers, the ela.now domain, and video and audio tools for marketing.</w:t>
            </w:r>
          </w:p>
        </w:tc>
        <w:tc>
          <w:tcPr>
            <w:tcW w:type="dxa" w:w="23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about 15,000</w:t>
            </w:r>
          </w:p>
        </w:tc>
      </w:tr>
      <w:tr>
        <w:trPr>
          <w:cantSplit/>
        </w:trPr>
        <w:tc>
          <w:tcPr>
            <w:tcW w:type="dxa" w:w="19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Total so far</w:t>
            </w:r>
          </w:p>
        </w:tc>
        <w:tc>
          <w:tcPr>
            <w:tcW w:type="dxa" w:w="515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COO time and cash; the CEO’s time is still to be added.</w:t>
            </w:r>
          </w:p>
        </w:tc>
        <w:tc>
          <w:tcPr>
            <w:tcW w:type="dxa" w:w="2362"/>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about 195,000 + TBD</w:t>
            </w:r>
          </w:p>
        </w:tc>
      </w:tr>
    </w:tbl>
    <w:p>
      <w:pPr>
        <w:spacing w:after="120" w:before="60" w:line="250" w:lineRule="auto"/>
      </w:pPr>
      <w:commentRangeStart w:id="34"/>
      <w:r>
        <w:rPr>
          <w:rFonts w:ascii="Instrument Sans" w:cs="Instrument Sans" w:eastAsia="Instrument Sans" w:hAnsi="Instrument Sans"/>
          <w:color w:val="4A5E53"/>
          <w:sz w:val="16"/>
          <w:szCs w:val="16"/>
        </w:rPr>
        <w:t xml:space="preserve">None of this time has been paid.</w:t>
      </w:r>
      <w:commentRangeEnd w:id="34"/>
      <w:r>
        <w:commentReference w:id="34"/>
      </w:r>
      <w:r>
        <w:rPr>
          <w:rFonts w:ascii="Instrument Sans" w:cs="Instrument Sans" w:eastAsia="Instrument Sans" w:hAnsi="Instrument Sans"/>
          <w:color w:val="4A5E53"/>
          <w:sz w:val="16"/>
          <w:szCs w:val="16"/>
        </w:rPr>
        <w:t xml:space="preserve"> Where it leaves us: the product works end to end on our production servers in test mode, and about 4-6 weeks of launch work remain (section 2).</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8</w:t>
      </w:r>
      <w:r>
        <w:rPr>
          <w:rFonts w:ascii="Bricolage Grotesque SemiBold" w:cs="Bricolage Grotesque SemiBold" w:eastAsia="Bricolage Grotesque SemiBold" w:hAnsi="Bricolage Grotesque SemiBold"/>
          <w:color w:val="13261D"/>
          <w:sz w:val="30"/>
          <w:szCs w:val="30"/>
        </w:rPr>
        <w:t xml:space="preserve">   Risks and competition</w:t>
      </w:r>
    </w:p>
    <w:tbl>
      <w:tblPr>
        <w:tblW w:type="dxa" w:w="9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06"/>
        <w:gridCol w:w="4706"/>
      </w:tblGrid>
      <w:tr>
        <w:trPr>
          <w:cantSplit/>
        </w:trPr>
        <w:tc>
          <w:tcPr>
            <w:tcW w:type="dxa" w:w="4706"/>
            <w:tcBorders>
              <w:top w:val="single" w:color="FFFFFF" w:sz="20"/>
              <w:left w:val="single" w:color="FFFFFF" w:sz="20"/>
              <w:bottom w:val="single" w:color="FFFFFF" w:sz="20"/>
              <w:right w:val="single" w:color="FFFFFF" w:sz="20"/>
            </w:tcBorders>
            <w:shd w:fill="D3EBDD" w:color="auto" w:val="clear"/>
            <w:tcMar>
              <w:top w:type="dxa" w:w="130"/>
              <w:left w:type="dxa" w:w="170"/>
              <w:bottom w:type="dxa" w:w="110"/>
              <w:right w:type="dxa" w:w="150"/>
            </w:tcMar>
          </w:tcPr>
          <w:p>
            <w:pPr>
              <w:keepNext/>
              <w:spacing w:after="80"/>
            </w:pPr>
            <w:r>
              <w:rPr>
                <w:rFonts w:ascii="Instrument Sans SemiBold" w:cs="Instrument Sans SemiBold" w:eastAsia="Instrument Sans SemiBold" w:hAnsi="Instrument Sans SemiBold"/>
                <w:color w:val="0B7549"/>
                <w:sz w:val="19"/>
                <w:szCs w:val="19"/>
              </w:rPr>
              <w:t xml:space="preserve">Strengths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Working product: iPhone and Android apps, Apple Watch, servers and a console.</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One hold sends for a lawyer, the consulate and family.</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Once the hold commits, the response runs on our servers.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Built for residents at home; card and travel cover only works on trips.</w:t>
            </w:r>
          </w:p>
        </w:tc>
        <w:tc>
          <w:tcPr>
            <w:tcW w:type="dxa" w:w="4706"/>
            <w:tcBorders>
              <w:top w:val="single" w:color="FFFFFF" w:sz="20"/>
              <w:left w:val="single" w:color="FFFFFF" w:sz="20"/>
              <w:bottom w:val="single" w:color="FFFFFF" w:sz="20"/>
              <w:right w:val="single" w:color="FFFFFF" w:sz="20"/>
            </w:tcBorders>
            <w:shd w:fill="F2F6F2" w:color="auto" w:val="clear"/>
            <w:tcMar>
              <w:top w:type="dxa" w:w="130"/>
              <w:left w:type="dxa" w:w="170"/>
              <w:bottom w:type="dxa" w:w="110"/>
              <w:right w:type="dxa" w:w="150"/>
            </w:tcMar>
          </w:tcPr>
          <w:p>
            <w:pPr>
              <w:keepNext/>
              <w:spacing w:after="80"/>
            </w:pPr>
            <w:r>
              <w:rPr>
                <w:rFonts w:ascii="Instrument Sans SemiBold" w:cs="Instrument Sans SemiBold" w:eastAsia="Instrument Sans SemiBold" w:hAnsi="Instrument Sans SemiBold"/>
                <w:color w:val="0B7549"/>
                <w:sz w:val="19"/>
                <w:szCs w:val="19"/>
              </w:rPr>
              <w:t xml:space="preserve">Weaknesses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Pre-launch: no members or revenue yet.</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A panel of three to five firms at launch; none signed yet.</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The Android app is newer and less tested than the iPhone app.</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Small team; the 24/7 response desk is not yet staffed.</w:t>
            </w:r>
          </w:p>
        </w:tc>
      </w:tr>
      <w:tr>
        <w:trPr>
          <w:cantSplit/>
        </w:trPr>
        <w:tc>
          <w:tcPr>
            <w:tcW w:type="dxa" w:w="4706"/>
            <w:tcBorders>
              <w:top w:val="single" w:color="FFFFFF" w:sz="20"/>
              <w:left w:val="single" w:color="FFFFFF" w:sz="20"/>
              <w:bottom w:val="single" w:color="FFFFFF" w:sz="20"/>
              <w:right w:val="single" w:color="FFFFFF" w:sz="20"/>
            </w:tcBorders>
            <w:shd w:fill="F2F6F2" w:color="auto" w:val="clear"/>
            <w:tcMar>
              <w:top w:type="dxa" w:w="130"/>
              <w:left w:type="dxa" w:w="170"/>
              <w:bottom w:type="dxa" w:w="110"/>
              <w:right w:type="dxa" w:w="150"/>
            </w:tcMar>
          </w:tcPr>
          <w:p>
            <w:pPr>
              <w:keepNext/>
              <w:spacing w:after="80"/>
            </w:pPr>
            <w:r>
              <w:rPr>
                <w:rFonts w:ascii="Instrument Sans SemiBold" w:cs="Instrument Sans SemiBold" w:eastAsia="Instrument Sans SemiBold" w:hAnsi="Instrument Sans SemiBold"/>
                <w:color w:val="0B7549"/>
                <w:sz w:val="19"/>
                <w:szCs w:val="19"/>
              </w:rPr>
              <w:t xml:space="preserve">Opportunities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UAE authorities don’t routinely notify the US embassy of arrests (State Department).</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Employers’ duty of care: company-paid seats for resident staff.</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Partners: wellbeing providers, insurers, banks and assistance companies.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Gulf roll-out from year two.</w:t>
            </w:r>
          </w:p>
        </w:tc>
        <w:tc>
          <w:tcPr>
            <w:tcW w:type="dxa" w:w="4706"/>
            <w:tcBorders>
              <w:top w:val="single" w:color="FFFFFF" w:sz="20"/>
              <w:left w:val="single" w:color="FFFFFF" w:sz="20"/>
              <w:bottom w:val="single" w:color="FFFFFF" w:sz="20"/>
              <w:right w:val="single" w:color="FFFFFF" w:sz="20"/>
            </w:tcBorders>
            <w:shd w:fill="D3EBDD" w:color="auto" w:val="clear"/>
            <w:tcMar>
              <w:top w:type="dxa" w:w="130"/>
              <w:left w:type="dxa" w:w="170"/>
              <w:bottom w:type="dxa" w:w="110"/>
              <w:right w:type="dxa" w:w="150"/>
            </w:tcMar>
          </w:tcPr>
          <w:p>
            <w:pPr>
              <w:keepNext/>
              <w:spacing w:after="80"/>
            </w:pPr>
            <w:r>
              <w:rPr>
                <w:rFonts w:ascii="Instrument Sans SemiBold" w:cs="Instrument Sans SemiBold" w:eastAsia="Instrument Sans SemiBold" w:hAnsi="Instrument Sans SemiBold"/>
                <w:color w:val="0B7549"/>
                <w:sz w:val="19"/>
                <w:szCs w:val="19"/>
              </w:rPr>
              <w:t xml:space="preserve">Threats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UAE law fines anyone paid a commission to bring clients to a lawyer.</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Legal Cover or a similar subscription adds an emergency service.</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A bank, insurer or card issuer bundles something similar.</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Pay-per-use SOS services, like Bahrain’s, reach the UAE.</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Earning insurance commission may need a Central Bank licence.</w:t>
            </w:r>
          </w:p>
        </w:tc>
      </w:tr>
    </w:tbl>
    <w:p>
      <w:pPr>
        <w:spacing w:after="140" w:before="0" w:line="120" w:lineRule="auto"/>
      </w:pPr>
    </w:p>
    <w:p>
      <w:pPr>
        <w:pStyle w:val="Heading2"/>
        <w:keepNext/>
      </w:pPr>
      <w:commentRangeStart w:id="35"/>
      <w:r>
        <w:rPr>
          <w:rFonts w:ascii="Instrument Sans SemiBold" w:cs="Instrument Sans SemiBold" w:eastAsia="Instrument Sans SemiBold" w:hAnsi="Instrument Sans SemiBold"/>
          <w:color w:val="13261D"/>
          <w:sz w:val="21"/>
          <w:szCs w:val="21"/>
        </w:rPr>
        <w:t xml:space="preserve">The competitors that matter</w:t>
      </w:r>
      <w:commentRangeEnd w:id="35"/>
      <w:r>
        <w:commentReference w:id="35"/>
      </w:r>
    </w:p>
    <w:p>
      <w:pPr>
        <w:keepNext/>
        <w:spacing w:after="100" w:before="0" w:line="250" w:lineRule="auto"/>
      </w:pPr>
      <w:commentRangeStart w:id="36"/>
      <w:r>
        <w:rPr>
          <w:rFonts w:ascii="Instrument Sans" w:cs="Instrument Sans" w:eastAsia="Instrument Sans" w:hAnsi="Instrument Sans"/>
          <w:color w:val="13261D"/>
          <w:sz w:val="20"/>
          <w:szCs w:val="20"/>
        </w:rPr>
        <w:t xml:space="preserve">Our scan found no product in the UAE or the Gulf where one button sends for a lawyer, the consulate and family. Today people pay a firm per case.</w:t>
      </w:r>
      <w:commentRangeEnd w:id="36"/>
      <w:r>
        <w:commentReference w:id="36"/>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2000"/>
        <w:gridCol w:w="3900"/>
        <w:gridCol w:w="3512"/>
      </w:tblGrid>
      <w:tr>
        <w:trPr>
          <w:cantSplit/>
          <w:tblHeader/>
        </w:trPr>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Name</w:t>
            </w:r>
          </w:p>
        </w:tc>
        <w:tc>
          <w:tcPr>
            <w:tcW w:type="dxa" w:w="39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What it does</w:t>
            </w:r>
          </w:p>
        </w:tc>
        <w:tc>
          <w:tcPr>
            <w:tcW w:type="dxa" w:w="35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How ELA differs</w:t>
            </w:r>
          </w:p>
        </w:tc>
      </w:tr>
      <w:tr>
        <w:trPr>
          <w:cantSplit/>
        </w:trPr>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Legal Cover (UAE)</w:t>
            </w:r>
          </w:p>
        </w:tc>
        <w:tc>
          <w:tcPr>
            <w:tcW w:type="dxa" w:w="3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Legal-advice subscription from AED 95 a month. Markets “police matters” but sells advice calls, with response options from priority to 24 hours. No app and no court representation.</w:t>
            </w:r>
          </w:p>
        </w:tc>
        <w:tc>
          <w:tcPr>
            <w:tcW w:type="dxa" w:w="35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Built for the emergency itself: one hold sends the case to a law firm and alerts the consulate and family.</w:t>
            </w:r>
          </w:p>
        </w:tc>
      </w:tr>
      <w:tr>
        <w:trPr>
          <w:cantSplit/>
        </w:trPr>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Lawyers.bh Legal SOS (Bahrain)</w:t>
            </w:r>
          </w:p>
        </w:tc>
        <w:tc>
          <w:tcPr>
            <w:tcW w:type="dxa" w:w="3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An SOS page that sends the nearest advocate within minutes, around the clock. Pay per incident: BHD 150 for an arrest.</w:t>
            </w:r>
          </w:p>
        </w:tc>
        <w:tc>
          <w:tcPr>
            <w:tcW w:type="dxa" w:w="35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A membership with app and watch that also alerts the consulate and family. Bahrain is in our year-two roll-out.</w:t>
            </w:r>
          </w:p>
        </w:tc>
      </w:tr>
      <w:tr>
        <w:trPr>
          <w:cantSplit/>
        </w:trPr>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Dubai law firms with 24/7 arrest lines</w:t>
            </w:r>
          </w:p>
        </w:tc>
        <w:tc>
          <w:tcPr>
            <w:tcW w:type="dxa" w:w="3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Call after an arrest. Some promise a response within 30 minutes and attend the police station. Fees set per case.</w:t>
            </w:r>
          </w:p>
        </w:tc>
        <w:tc>
          <w:tcPr>
            <w:tcW w:type="dxa" w:w="35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No number to find in the moment: one hold alerts the firm, the consulate and family, with the member’s location.</w:t>
            </w:r>
          </w:p>
        </w:tc>
      </w:tr>
      <w:tr>
        <w:trPr>
          <w:cantSplit/>
        </w:trPr>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Phone SOS (Apple, Android)</w:t>
            </w:r>
          </w:p>
        </w:tc>
        <w:tc>
          <w:tcPr>
            <w:tcW w:type="dxa" w:w="3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Free. Calls emergency services and alerts the member’s emergency contacts with their location.</w:t>
            </w:r>
          </w:p>
        </w:tc>
        <w:tc>
          <w:tcPr>
            <w:tcW w:type="dxa" w:w="35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In an arrest the police are the detaining authority. ELA sends for a lawyer and the consulate as well as family.</w:t>
            </w:r>
          </w:p>
        </w:tc>
      </w:tr>
      <w:tr>
        <w:trPr>
          <w:cantSplit/>
        </w:trPr>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Travel insurance and premium cards</w:t>
            </w:r>
          </w:p>
        </w:tc>
        <w:tc>
          <w:tcPr>
            <w:tcW w:type="dxa" w:w="3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Bail, or a lawyer’s fee advanced to the card, on trips only (Sukoon Travel Easy, Amex Platinum). Sukoon’s travel policy excludes detention for breaking the law.</w:t>
            </w:r>
          </w:p>
        </w:tc>
        <w:tc>
          <w:tcPr>
            <w:tcW w:type="dxa" w:w="35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Covers residents at home. ELA’s planned insurance add-on pays legal fees and bail.</w:t>
            </w:r>
          </w:p>
        </w:tc>
      </w:tr>
      <w:tr>
        <w:trPr>
          <w:cantSplit/>
        </w:trPr>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Employer assistance (International SOS)</w:t>
            </w:r>
          </w:p>
        </w:tc>
        <w:tc>
          <w:tcPr>
            <w:tcW w:type="dxa" w:w="3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24-hour assistance for organisations’ staff, with a Dubai assistance centre. For an arrest, its published service (in an older guide) is a lawyer referral.</w:t>
            </w:r>
          </w:p>
        </w:tc>
        <w:tc>
          <w:tcPr>
            <w:tcW w:type="dxa" w:w="35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Runs the whole response for resident staff at home. More likely a partner than a rival.</w:t>
            </w:r>
          </w:p>
        </w:tc>
      </w:tr>
      <w:tr>
        <w:trPr>
          <w:cantSplit/>
        </w:trPr>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Consulates</w:t>
            </w:r>
          </w:p>
        </w:tc>
        <w:tc>
          <w:tcPr>
            <w:tcW w:type="dxa" w:w="3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Help once they are told, with lists of local lawyers. The US says UAE authorities “do not routinely notify” it of a citizen’s arrest.</w:t>
            </w:r>
          </w:p>
        </w:tc>
        <w:tc>
          <w:tcPr>
            <w:tcW w:type="dxa" w:w="35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ELA tells the consulate at once and brings in a firm that takes the case.</w:t>
            </w:r>
          </w:p>
        </w:tc>
      </w:tr>
    </w:tbl>
    <w:p>
      <w:pPr>
        <w:spacing w:after="120" w:before="60" w:line="250" w:lineRule="auto"/>
      </w:pPr>
      <w:r>
        <w:rPr>
          <w:rFonts w:ascii="Instrument Sans" w:cs="Instrument Sans" w:eastAsia="Instrument Sans" w:hAnsi="Instrument Sans"/>
          <w:color w:val="4A5E53"/>
          <w:sz w:val="16"/>
          <w:szCs w:val="16"/>
        </w:rPr>
        <w:t xml:space="preserve">Abroad, LegalShield in the US sells membership legal plans whose 24/7 line covers arrests, and says it serves over 4.5 million people across all its plans, in the US and Canada. All examples checked at source on 1 October 2026.</w:t>
      </w:r>
    </w:p>
    <w:p>
      <w:pPr>
        <w:pStyle w:val="Heading2"/>
        <w:keepNext/>
      </w:pPr>
      <w:commentRangeStart w:id="37"/>
      <w:r>
        <w:rPr>
          <w:rFonts w:ascii="Instrument Sans SemiBold" w:cs="Instrument Sans SemiBold" w:eastAsia="Instrument Sans SemiBold" w:hAnsi="Instrument Sans SemiBold"/>
          <w:color w:val="13261D"/>
          <w:sz w:val="21"/>
          <w:szCs w:val="21"/>
        </w:rPr>
        <w:t xml:space="preserve">Why ELA wins</w:t>
      </w:r>
      <w:commentRangeEnd w:id="37"/>
      <w:r>
        <w:commentReference w:id="37"/>
      </w:r>
    </w:p>
    <w:p>
      <w:pPr>
        <w:keepNext/>
        <w:spacing w:after="100" w:before="0" w:line="250" w:lineRule="auto"/>
      </w:pPr>
      <w:r>
        <w:rPr>
          <w:rFonts w:ascii="Instrument Sans" w:cs="Instrument Sans" w:eastAsia="Instrument Sans" w:hAnsi="Instrument Sans"/>
          <w:color w:val="13261D"/>
          <w:sz w:val="20"/>
          <w:szCs w:val="20"/>
        </w:rPr>
        <w:t xml:space="preserve">Anyone can build an app quickly now, so the code is not the moat. What is hard to copy is what sits behind the button, and each of these takes time to build:</w:t>
      </w:r>
    </w:p>
    <w:p>
      <w:pPr>
        <w:pStyle w:val="ListParagraph"/>
        <w:keepNext/>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The law-firm panel:</w:t>
      </w:r>
      <w:r>
        <w:rPr>
          <w:rFonts w:ascii="Instrument Sans" w:cs="Instrument Sans" w:eastAsia="Instrument Sans" w:hAnsi="Instrument Sans"/>
          <w:color w:val="13261D"/>
          <w:sz w:val="20"/>
          <w:szCs w:val="20"/>
        </w:rPr>
        <w:t xml:space="preserve"> vetted firms with agreed response times across the seven emirates. A rival would have to find, vet and sign them again.</w:t>
      </w:r>
    </w:p>
    <w:p>
      <w:pPr>
        <w:pStyle w:val="ListParagraph"/>
        <w:keepNext/>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The 24/7 desk and its procedures:</w:t>
      </w:r>
      <w:r>
        <w:rPr>
          <w:rFonts w:ascii="Instrument Sans" w:cs="Instrument Sans" w:eastAsia="Instrument Sans" w:hAnsi="Instrument Sans"/>
          <w:color w:val="13261D"/>
          <w:sz w:val="20"/>
          <w:szCs w:val="20"/>
        </w:rPr>
        <w:t xml:space="preserve"> who is called, in what order, and what happens when a firm does not pick up.</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Routes to consulates:</w:t>
      </w:r>
      <w:r>
        <w:rPr>
          <w:rFonts w:ascii="Instrument Sans" w:cs="Instrument Sans" w:eastAsia="Instrument Sans" w:hAnsi="Instrument Sans"/>
          <w:color w:val="13261D"/>
          <w:sz w:val="20"/>
          <w:szCs w:val="20"/>
        </w:rPr>
        <w:t xml:space="preserve"> who to tell at each embassy and consulate, and how, so the first call lands.</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The insurance product:</w:t>
      </w:r>
      <w:r>
        <w:rPr>
          <w:rFonts w:ascii="Instrument Sans" w:cs="Instrument Sans" w:eastAsia="Instrument Sans" w:hAnsi="Instrument Sans"/>
          <w:color w:val="13261D"/>
          <w:sz w:val="20"/>
          <w:szCs w:val="20"/>
        </w:rPr>
        <w:t xml:space="preserve"> legal-costs and bail cover, agreed in principle with Howden and AIG.</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Partner channels:</w:t>
      </w:r>
      <w:r>
        <w:rPr>
          <w:rFonts w:ascii="Instrument Sans" w:cs="Instrument Sans" w:eastAsia="Instrument Sans" w:hAnsi="Instrument Sans"/>
          <w:color w:val="13261D"/>
          <w:sz w:val="20"/>
          <w:szCs w:val="20"/>
        </w:rPr>
        <w:t xml:space="preserve"> employers, wellbeing providers, insurers, banks and card issuers.</w:t>
      </w:r>
    </w:p>
    <w:p>
      <w:pPr>
        <w:pStyle w:val="ListParagraph"/>
        <w:keepLines/>
        <w:numPr>
          <w:ilvl w:val="0"/>
          <w:numId w:val="2"/>
        </w:numPr>
        <w:spacing w:after="140" w:before="0" w:line="245" w:lineRule="auto"/>
      </w:pPr>
      <w:r>
        <w:rPr>
          <w:rFonts w:ascii="Instrument Sans SemiBold" w:cs="Instrument Sans SemiBold" w:eastAsia="Instrument Sans SemiBold" w:hAnsi="Instrument Sans SemiBold"/>
          <w:color w:val="13261D"/>
          <w:sz w:val="20"/>
          <w:szCs w:val="20"/>
        </w:rPr>
        <w:t xml:space="preserve">The founders’ experience:</w:t>
      </w:r>
      <w:r>
        <w:rPr>
          <w:rFonts w:ascii="Instrument Sans" w:cs="Instrument Sans" w:eastAsia="Instrument Sans" w:hAnsi="Instrument Sans"/>
          <w:color w:val="13261D"/>
          <w:sz w:val="20"/>
          <w:szCs w:val="20"/>
        </w:rPr>
        <w:t xml:space="preserve"> </w:t>
      </w:r>
      <w:commentRangeStart w:id="38"/>
      <w:r>
        <w:rPr>
          <w:rFonts w:ascii="Instrument Sans" w:cs="Instrument Sans" w:eastAsia="Instrument Sans" w:hAnsi="Instrument Sans"/>
          <w:color w:val="13261D"/>
          <w:sz w:val="20"/>
          <w:szCs w:val="20"/>
        </w:rPr>
        <w:t xml:space="preserve">Jon’s in legal practice; Stevan’s in building and running regulated financial services.</w:t>
      </w:r>
      <w:commentRangeEnd w:id="38"/>
      <w:r>
        <w:commentReference w:id="38"/>
      </w:r>
    </w:p>
    <w:p>
      <w:pPr>
        <w:pStyle w:val="Heading2"/>
        <w:keepNext/>
      </w:pPr>
      <w:r>
        <w:rPr>
          <w:rFonts w:ascii="Instrument Sans SemiBold" w:cs="Instrument Sans SemiBold" w:eastAsia="Instrument Sans SemiBold" w:hAnsi="Instrument Sans SemiBold"/>
          <w:color w:val="13261D"/>
          <w:sz w:val="21"/>
          <w:szCs w:val="21"/>
        </w:rPr>
        <w:t xml:space="preserve">Legal checks before launch</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Referral commission.</w:t>
      </w:r>
      <w:r>
        <w:rPr>
          <w:rFonts w:ascii="Instrument Sans" w:cs="Instrument Sans" w:eastAsia="Instrument Sans" w:hAnsi="Instrument Sans"/>
          <w:color w:val="13261D"/>
          <w:sz w:val="20"/>
          <w:szCs w:val="20"/>
        </w:rPr>
        <w:t xml:space="preserve"> UAE law fines anyone who, for a commission, brings clients to a lawyer </w:t>
      </w:r>
      <w:commentRangeStart w:id="39"/>
      <w:r>
        <w:rPr>
          <w:rFonts w:ascii="Instrument Sans" w:cs="Instrument Sans" w:eastAsia="Instrument Sans" w:hAnsi="Instrument Sans"/>
          <w:color w:val="13261D"/>
          <w:sz w:val="20"/>
          <w:szCs w:val="20"/>
        </w:rPr>
        <w:t xml:space="preserve">(Federal Decree-Law 34 of 2022, Art. 101)</w:t>
      </w:r>
      <w:commentRangeEnd w:id="39"/>
      <w:r>
        <w:commentReference w:id="39"/>
      </w:r>
      <w:r>
        <w:rPr>
          <w:rFonts w:ascii="Instrument Sans" w:cs="Instrument Sans" w:eastAsia="Instrument Sans" w:hAnsi="Instrument Sans"/>
          <w:color w:val="13261D"/>
          <w:sz w:val="20"/>
          <w:szCs w:val="20"/>
        </w:rPr>
        <w:t xml:space="preserve">. The projections count the commission until Jon confirms otherwise. We may need written advice, or a different fee structure, before charging firms.</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Insurance.</w:t>
      </w:r>
      <w:r>
        <w:rPr>
          <w:rFonts w:ascii="Instrument Sans" w:cs="Instrument Sans" w:eastAsia="Instrument Sans" w:hAnsi="Instrument Sans"/>
          <w:color w:val="13261D"/>
          <w:sz w:val="20"/>
          <w:szCs w:val="20"/>
        </w:rPr>
        <w:t xml:space="preserve"> </w:t>
      </w:r>
      <w:commentRangeStart w:id="40"/>
      <w:r>
        <w:rPr>
          <w:rFonts w:ascii="Instrument Sans" w:cs="Instrument Sans" w:eastAsia="Instrument Sans" w:hAnsi="Instrument Sans"/>
          <w:color w:val="13261D"/>
          <w:sz w:val="20"/>
          <w:szCs w:val="20"/>
        </w:rPr>
        <w:t xml:space="preserve">Earning commission on the add-on, or promoting it in the app, may need a licence or a licensed intermediary.</w:t>
      </w:r>
      <w:commentRangeEnd w:id="40"/>
      <w:r>
        <w:commentReference w:id="40"/>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Who represents.</w:t>
      </w:r>
      <w:r>
        <w:rPr>
          <w:rFonts w:ascii="Instrument Sans" w:cs="Instrument Sans" w:eastAsia="Instrument Sans" w:hAnsi="Instrument Sans"/>
          <w:color w:val="13261D"/>
          <w:sz w:val="20"/>
          <w:szCs w:val="20"/>
        </w:rPr>
        <w:t xml:space="preserve"> Only licensed lawyers may represent people before the police and prosecutors (Art. 6), so our response team coordinates and the law firm acts.</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9</w:t>
      </w:r>
      <w:r>
        <w:rPr>
          <w:rFonts w:ascii="Bricolage Grotesque SemiBold" w:cs="Bricolage Grotesque SemiBold" w:eastAsia="Bricolage Grotesque SemiBold" w:hAnsi="Bricolage Grotesque SemiBold"/>
          <w:color w:val="13261D"/>
          <w:sz w:val="30"/>
          <w:szCs w:val="30"/>
        </w:rPr>
        <w:t xml:space="preserve">   The raise</w:t>
      </w:r>
    </w:p>
    <w:p>
      <w:pPr>
        <w:keepNext/>
        <w:spacing w:after="100" w:before="0" w:line="250" w:lineRule="auto"/>
      </w:pPr>
      <w:commentRangeStart w:id="41"/>
      <w:r>
        <w:rPr>
          <w:rFonts w:ascii="Instrument Sans" w:cs="Instrument Sans" w:eastAsia="Instrument Sans" w:hAnsi="Instrument Sans"/>
          <w:color w:val="13261D"/>
          <w:sz w:val="20"/>
          <w:szCs w:val="20"/>
        </w:rPr>
        <w:t xml:space="preserve">AED 7,000,000 (about USD 1.9M), as proposed in the July 2026 plan.</w:t>
      </w:r>
      <w:commentRangeEnd w:id="41"/>
      <w:r>
        <w:commentReference w:id="41"/>
      </w:r>
      <w:r>
        <w:rPr>
          <w:rFonts w:ascii="Instrument Sans" w:cs="Instrument Sans" w:eastAsia="Instrument Sans" w:hAnsi="Instrument Sans"/>
          <w:color w:val="13261D"/>
          <w:sz w:val="20"/>
          <w:szCs w:val="20"/>
        </w:rPr>
        <w:t xml:space="preserve"> In the Base case it pays for year one’s costs of AED 8.0M together with AED 6.2M of revenue, and keeps a reserve for the slower cases.</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5412"/>
        <w:gridCol w:w="2000"/>
        <w:gridCol w:w="2000"/>
      </w:tblGrid>
      <w:tr>
        <w:trPr>
          <w:cantSplit/>
          <w:tblHeader/>
        </w:trPr>
        <w:tc>
          <w:tcPr>
            <w:tcW w:type="dxa" w:w="54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commentRangeStart w:id="42"/>
            <w:r>
              <w:rPr>
                <w:rFonts w:ascii="Instrument Sans SemiBold" w:cs="Instrument Sans SemiBold" w:eastAsia="Instrument Sans SemiBold" w:hAnsi="Instrument Sans SemiBold"/>
                <w:color w:val="4A5E53"/>
                <w:sz w:val="16"/>
                <w:szCs w:val="16"/>
              </w:rPr>
              <w:t xml:space="preserve">Use of funds, Base case, year one</w:t>
            </w:r>
            <w:commentRangeEnd w:id="42"/>
            <w:r>
              <w:commentReference w:id="42"/>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AED k</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Share of costs</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Marketing</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2,880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36%</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Operations: 24/7 desk and member costs</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653</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8%</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Technology</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1,600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20%</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Administration</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1,820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23%</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Contingency (15%)</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1,043</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13%</w:t>
            </w: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Year-one costs</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8"/>
                <w:szCs w:val="18"/>
              </w:rPr>
              <w:t xml:space="preserve">7,996</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8"/>
                <w:szCs w:val="18"/>
              </w:rPr>
              <w:t xml:space="preserve">100%</w:t>
            </w: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Paid for by net revenue</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6,211</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p>
        </w:tc>
      </w:tr>
      <w:tr>
        <w:trPr>
          <w:cantSplit/>
        </w:trPr>
        <w:tc>
          <w:tcPr>
            <w:tcW w:type="dxa" w:w="5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Paid for by the raise</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1,785</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p>
        </w:tc>
      </w:tr>
      <w:tr>
        <w:trPr>
          <w:cantSplit/>
        </w:trPr>
        <w:tc>
          <w:tcPr>
            <w:tcW w:type="dxa" w:w="5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Left from the raise at the end of year one</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8"/>
                <w:szCs w:val="18"/>
              </w:rPr>
              <w:t xml:space="preserve">5,215</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p>
        </w:tc>
      </w:tr>
    </w:tbl>
    <w:p>
      <w:pPr>
        <w:spacing w:after="120" w:before="0" w:line="120" w:lineRule="auto"/>
      </w:pP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Runway.</w:t>
      </w:r>
      <w:r>
        <w:rPr>
          <w:rFonts w:ascii="Instrument Sans" w:cs="Instrument Sans" w:eastAsia="Instrument Sans" w:hAnsi="Instrument Sans"/>
          <w:color w:val="13261D"/>
          <w:sz w:val="20"/>
          <w:szCs w:val="20"/>
        </w:rPr>
        <w:t xml:space="preserve"> Base case: cash never runs out. Its lowest point is AED 5.2M in month 8, and it makes a monthly profit from month 9. Cautious case: 14 months of runway; cash runs out in month 15.</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What the raise must prove</w:t>
      </w:r>
      <w:r>
        <w:rPr>
          <w:rFonts w:ascii="Instrument Sans" w:cs="Instrument Sans" w:eastAsia="Instrument Sans" w:hAnsi="Instrument Sans"/>
          <w:color w:val="13261D"/>
          <w:sz w:val="20"/>
          <w:szCs w:val="20"/>
        </w:rPr>
        <w:t xml:space="preserve">, in the first year: paying members (the Base case has about 11,000 by month 12); the cost of a new member (about AED 300 of marketing each in the Base case); the renewal rate (60% of annual members renewing at 12 months); and company contracts (400 seats a month from month 5).</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A staged option.</w:t>
      </w:r>
      <w:r>
        <w:rPr>
          <w:rFonts w:ascii="Instrument Sans" w:cs="Instrument Sans" w:eastAsia="Instrument Sans" w:hAnsi="Instrument Sans"/>
          <w:color w:val="13261D"/>
          <w:sz w:val="20"/>
          <w:szCs w:val="20"/>
        </w:rPr>
        <w:t xml:space="preserve"> If the first months track the Cautious case, the raise can come in two tranches, the second tied to those milestones; and ELA can cut performance spend and fixed costs well before cash runs short in month 15.</w:t>
      </w:r>
    </w:p>
    <w:p>
      <w:pPr>
        <w:pStyle w:val="ListParagraph"/>
        <w:keepLines/>
        <w:numPr>
          <w:ilvl w:val="0"/>
          <w:numId w:val="2"/>
        </w:numPr>
        <w:spacing w:after="60" w:before="0" w:line="245" w:lineRule="auto"/>
      </w:pPr>
      <w:r>
        <w:rPr>
          <w:rFonts w:ascii="Instrument Sans" w:cs="Instrument Sans" w:eastAsia="Instrument Sans" w:hAnsi="Instrument Sans"/>
          <w:color w:val="13261D"/>
          <w:sz w:val="20"/>
          <w:szCs w:val="20"/>
        </w:rPr>
        <w:t xml:space="preserve">Instrument and valuation to be agreed.</w:t>
      </w:r>
    </w:p>
    <w:p>
      <w:pPr>
        <w:pStyle w:val="ListParagraph"/>
        <w:keepLines/>
        <w:numPr>
          <w:ilvl w:val="0"/>
          <w:numId w:val="2"/>
        </w:numPr>
        <w:spacing w:after="60" w:before="0" w:line="245" w:lineRule="auto"/>
      </w:pPr>
      <w:r>
        <w:rPr>
          <w:rFonts w:ascii="Instrument Sans" w:cs="Instrument Sans" w:eastAsia="Instrument Sans" w:hAnsi="Instrument Sans"/>
          <w:color w:val="13261D"/>
          <w:sz w:val="20"/>
          <w:szCs w:val="20"/>
        </w:rPr>
        <w:t xml:space="preserve">A development partner contributing work for equity would reduce the cash needed (under evaluation, section 6).</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A</w:t>
      </w:r>
      <w:r>
        <w:rPr>
          <w:rFonts w:ascii="Bricolage Grotesque SemiBold" w:cs="Bricolage Grotesque SemiBold" w:eastAsia="Bricolage Grotesque SemiBold" w:hAnsi="Bricolage Grotesque SemiBold"/>
          <w:color w:val="13261D"/>
          <w:sz w:val="30"/>
          <w:szCs w:val="30"/>
        </w:rPr>
        <w:t xml:space="preserve">   Appendix</w:t>
      </w:r>
    </w:p>
    <w:p>
      <w:pPr>
        <w:pStyle w:val="Heading2"/>
        <w:keepNext/>
      </w:pPr>
      <w:commentRangeStart w:id="43"/>
      <w:r>
        <w:rPr>
          <w:rFonts w:ascii="Instrument Sans SemiBold" w:cs="Instrument Sans SemiBold" w:eastAsia="Instrument Sans SemiBold" w:hAnsi="Instrument Sans SemiBold"/>
          <w:color w:val="13261D"/>
          <w:sz w:val="21"/>
          <w:szCs w:val="21"/>
        </w:rPr>
        <w:t xml:space="preserve">Insurance add-on terms (July 2026 plan)</w:t>
      </w:r>
      <w:commentRangeEnd w:id="43"/>
      <w:r>
        <w:commentReference w:id="43"/>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3000"/>
        <w:gridCol w:w="6412"/>
      </w:tblGrid>
      <w:tr>
        <w:trPr>
          <w:cantSplit/>
        </w:trPr>
        <w:tc>
          <w:tcPr>
            <w:tcW w:type="dxa" w:w="3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Premium</w:t>
            </w:r>
          </w:p>
        </w:tc>
        <w:tc>
          <w:tcPr>
            <w:tcW w:type="dxa" w:w="6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AED 3,000 per adult a year</w:t>
            </w:r>
          </w:p>
        </w:tc>
      </w:tr>
      <w:tr>
        <w:trPr>
          <w:cantSplit/>
        </w:trPr>
        <w:tc>
          <w:tcPr>
            <w:tcW w:type="dxa" w:w="3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Cover per claim</w:t>
            </w:r>
          </w:p>
        </w:tc>
        <w:tc>
          <w:tcPr>
            <w:tcW w:type="dxa" w:w="6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Up to AED 150,000: legal fees up to AED 100,000, bail up to AED 50,000</w:t>
            </w:r>
          </w:p>
        </w:tc>
      </w:tr>
      <w:tr>
        <w:trPr>
          <w:cantSplit/>
        </w:trPr>
        <w:tc>
          <w:tcPr>
            <w:tcW w:type="dxa" w:w="3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Deductible</w:t>
            </w:r>
          </w:p>
        </w:tc>
        <w:tc>
          <w:tcPr>
            <w:tcW w:type="dxa" w:w="6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AED 20,000 per claim</w:t>
            </w:r>
          </w:p>
        </w:tc>
      </w:tr>
      <w:tr>
        <w:trPr>
          <w:cantSplit/>
        </w:trPr>
        <w:tc>
          <w:tcPr>
            <w:tcW w:type="dxa" w:w="3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Cooling-off period</w:t>
            </w:r>
          </w:p>
        </w:tc>
        <w:tc>
          <w:tcPr>
            <w:tcW w:type="dxa" w:w="6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30-90 days</w:t>
            </w:r>
          </w:p>
        </w:tc>
      </w:tr>
      <w:tr>
        <w:trPr>
          <w:cantSplit/>
        </w:trPr>
        <w:tc>
          <w:tcPr>
            <w:tcW w:type="dxa" w:w="3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Claims are triggered by</w:t>
            </w:r>
          </w:p>
        </w:tc>
        <w:tc>
          <w:tcPr>
            <w:tcW w:type="dxa" w:w="6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 criminal complaint, arrest or detention, or prosecution</w:t>
            </w:r>
          </w:p>
        </w:tc>
      </w:tr>
    </w:tbl>
    <w:p>
      <w:pPr>
        <w:spacing w:after="120" w:before="0" w:line="120" w:lineRule="auto"/>
      </w:pPr>
    </w:p>
    <w:p>
      <w:pPr>
        <w:pStyle w:val="Heading2"/>
        <w:keepNext/>
      </w:pPr>
      <w:r>
        <w:rPr>
          <w:rFonts w:ascii="Instrument Sans SemiBold" w:cs="Instrument Sans SemiBold" w:eastAsia="Instrument Sans SemiBold" w:hAnsi="Instrument Sans SemiBold"/>
          <w:color w:val="13261D"/>
          <w:sz w:val="21"/>
          <w:szCs w:val="21"/>
        </w:rPr>
        <w:t xml:space="preserve">Country roll-out</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500"/>
        <w:gridCol w:w="7912"/>
      </w:tblGrid>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 1</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UAE</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 2</w:t>
            </w:r>
          </w:p>
        </w:tc>
        <w:tc>
          <w:tcPr>
            <w:tcW w:type="dxa" w:w="79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Saudi Arabia, Qatar, Oman, Bahrain</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 3</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India, China; South America, Mexico and Europe, timing to be set</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 4</w:t>
            </w:r>
          </w:p>
        </w:tc>
        <w:tc>
          <w:tcPr>
            <w:tcW w:type="dxa" w:w="79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Pakistan, Thailand, Indonesia, Malaysia</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 5</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Korea, Japan</w:t>
            </w:r>
          </w:p>
        </w:tc>
      </w:tr>
    </w:tbl>
    <w:p>
      <w:pPr>
        <w:spacing w:after="120" w:before="60" w:line="250" w:lineRule="auto"/>
      </w:pPr>
      <w:r>
        <w:rPr>
          <w:rFonts w:ascii="Instrument Sans" w:cs="Instrument Sans" w:eastAsia="Instrument Sans" w:hAnsi="Instrument Sans"/>
          <w:color w:val="4A5E53"/>
          <w:sz w:val="16"/>
          <w:szCs w:val="16"/>
        </w:rPr>
        <w:t xml:space="preserve">The financial model covers the UAE only: the roll-out beyond it is not in the numbers.</w:t>
      </w:r>
    </w:p>
    <w:sectPr>
      <w:footerReference w:type="default" r:id="rId7"/>
      <w:pgSz w:w="11906" w:h="16838" w:orient="portrait"/>
      <w:pgMar w:top="1134" w:right="1247" w:bottom="1134" w:left="1247"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DN" w:author="Draft note" w:date="2026-10-07T12:00:00.000Z">
    <w:p>
      <w:r>
        <w:rPr>
          <w:sz w:val="18"/>
          <w:szCs w:val="18"/>
        </w:rPr>
        <w:t xml:space="preserve">Name: the 31 July plan and deck E say “Emergency Legal Assist”; the website and the app say “Emergency Legal Assistance”. This draft follows the website. Change it here if you prefer the other.</w:t>
      </w:r>
    </w:p>
  </w:comment>
  <w:comment w:id="1" w:initials="Q" w:author="Question for Jon" w:date="2026-10-07T12:00:00.000Z">
    <w:p>
      <w:r>
        <w:rPr>
          <w:sz w:val="18"/>
          <w:szCs w:val="18"/>
        </w:rPr>
        <w:t xml:space="preserve">How did the idea start? Two or three sentences on how the concept was conceived would open the plan (Shaz’s first point). The lines below are deck E’s problem statement.</w:t>
      </w:r>
    </w:p>
  </w:comment>
  <w:comment w:id="2" w:initials="DN" w:author="Draft note" w:date="2026-10-07T12:00:00.000Z">
    <w:p>
      <w:r>
        <w:rPr>
          <w:sz w:val="18"/>
          <w:szCs w:val="18"/>
        </w:rPr>
        <w:t xml:space="preserve">Changed from the July plan: company seats and the law-firm panel fee are new revenue lines. The panel fee is Stevan’s model of 7 October: firms join free for two years, then pay to stay on the panel.</w:t>
      </w:r>
    </w:p>
  </w:comment>
  <w:comment w:id="3" w:initials="DN" w:author="Draft note" w:date="2026-10-07T12:00:00.000Z">
    <w:p>
      <w:r>
        <w:rPr>
          <w:sz w:val="18"/>
          <w:szCs w:val="18"/>
        </w:rPr>
        <w:t xml:space="preserve">Changed from the July plan, which set the AED 7M as the year-one budget of AED 4.62M plus AED 2.38M contingency, with about 18 months of runway before any revenue. The new budget is the model’s: AED 8.0M of year-one costs in the Base case, against AED 6.2M of revenue.</w:t>
      </w:r>
    </w:p>
  </w:comment>
  <w:comment w:id="4" w:initials="DN" w:author="Draft note" w:date="2026-10-07T12:00:00.000Z">
    <w:p>
      <w:r>
        <w:rPr>
          <w:sz w:val="18"/>
          <w:szCs w:val="18"/>
        </w:rPr>
        <w:t xml:space="preserve">Changed on 7 October (Stevan): a panel of three to five firms in place of the single launch firm, with free access for two years and a panel membership fee after that (section 3).</w:t>
      </w:r>
    </w:p>
  </w:comment>
  <w:comment w:id="5" w:initials="DN" w:author="Draft note" w:date="2026-10-07T12:00:00.000Z">
    <w:p>
      <w:r>
        <w:rPr>
          <w:sz w:val="18"/>
          <w:szCs w:val="18"/>
        </w:rPr>
        <w:t xml:space="preserve">The 22 September stock-take puts the Twilio setup and the law-firm contract on the critical path.</w:t>
      </w:r>
    </w:p>
  </w:comment>
  <w:comment w:id="6" w:initials="Q" w:author="Question for Jon" w:date="2026-10-07T12:00:00.000Z">
    <w:p>
      <w:r>
        <w:rPr>
          <w:sz w:val="18"/>
          <w:szCs w:val="18"/>
        </w:rPr>
        <w:t xml:space="preserve">From your messages: Howden says it has found a market that can support us, which wants to run it past its capacity provider before committing. Three things for the plan: who will be the insurer named on the policy (AIG, or a market backed by AIG)? Is Howden acting as our broker? Do the AED 3,000 premium and ELA’s 10% from the Sukoon talks carry over?</w:t>
      </w:r>
    </w:p>
    <w:p>
      <w:r>
        <w:rPr>
          <w:sz w:val="18"/>
          <w:szCs w:val="18"/>
        </w:rPr>
        <w:t xml:space="preserve">Useful context: AIG has insured this kind of benefit in the UAE before. Amex Platinum’s older terms (undated; the file is from 2022) named AIG’s Dubai branch (American Home Assurance Company) for the card’s benefit that appoints a lawyer and advances bail when a cardmember is jailed on a trip; the current wording (March 2026) names Liva Insurance.</w:t>
      </w:r>
    </w:p>
  </w:comment>
  <w:comment w:id="7" w:initials="Q" w:author="Question for Jon" w:date="2026-10-07T12:00:00.000Z">
    <w:p>
      <w:r>
        <w:rPr>
          <w:sz w:val="18"/>
          <w:szCs w:val="18"/>
        </w:rPr>
        <w:t xml:space="preserve">From Stevan (1 October): ELA launches under Murrayfield Law’s entity and sets up its own company later, and you are handling that. Still open: which entity holds the App Store organisation account? It needs a D-U-N-S number and has to be in place before launch.</w:t>
      </w:r>
    </w:p>
  </w:comment>
  <w:comment w:id="8" w:initials="Q" w:author="Question for Jon" w:date="2026-10-07T12:00:00.000Z">
    <w:p>
      <w:r>
        <w:rPr>
          <w:sz w:val="18"/>
          <w:szCs w:val="18"/>
        </w:rPr>
        <w:t xml:space="preserve">Member mix: the model now assumes new members split 40% annual, 45% monthly and 15% weekly, and that employers buy 100, 400 or 1,000 seats a month (Cautious, Base, Upside) from month 7, 5 or 4. Do these fit what you are hearing?</w:t>
      </w:r>
    </w:p>
  </w:comment>
  <w:comment w:id="9" w:initials="DN" w:author="Draft note" w:date="2026-10-07T12:00:00.000Z">
    <w:p>
      <w:r>
        <w:rPr>
          <w:sz w:val="18"/>
          <w:szCs w:val="18"/>
        </w:rPr>
        <w:t xml:space="preserve">Changed from the July plan, which assumed half of all members take the add-on from day one. The model now assumes 5%, 15% or 25% take it, from month 9, 6 or 4.</w:t>
      </w:r>
    </w:p>
  </w:comment>
  <w:comment w:id="10" w:initials="Q" w:author="Question for Jon" w:date="2026-10-07T12:00:00.000Z">
    <w:p>
      <w:r>
        <w:rPr>
          <w:sz w:val="18"/>
          <w:szCs w:val="18"/>
        </w:rPr>
        <w:t xml:space="preserve">Insurance commission: Stevan’s understanding (1 October) is that ELA gets 10% of the premium from members who take the insurance add-on, as in your 9 September teaser. Please confirm it holds with Howden and AIG, and whether the insurer pays it or it comes through Howden as broker.</w:t>
      </w:r>
    </w:p>
  </w:comment>
  <w:comment w:id="11" w:initials="DN" w:author="Draft note" w:date="2026-10-07T12:00:00.000Z">
    <w:p>
      <w:r>
        <w:rPr>
          <w:sz w:val="18"/>
          <w:szCs w:val="18"/>
        </w:rPr>
        <w:t xml:space="preserve">Legal risk found by the 1 October scan and checked at source (Ministry of Justice copy): Federal Decree-Law 34 of 2022 on the legal profession, Article 101, fines “any person who attempts, in consideration of a commission, to entice clients in favor of any lawyer” AED 20,000 to 200,000, and at least a year in prison for a repeat offence. Article 45(1)(h) also bars lawyers from promotion “by intermediaries”. A per-case commission from the firm may fall inside this. Options to check with counsel: a flat panel fee, member-paid revenue only, or a structure Jon is confident in. Jon, as a lawyer, may already know the answer.</w:t>
      </w:r>
    </w:p>
  </w:comment>
  <w:comment w:id="12" w:initials="DN" w:author="Draft note" w:date="2026-10-07T12:00:00.000Z">
    <w:p>
      <w:r>
        <w:rPr>
          <w:sz w:val="18"/>
          <w:szCs w:val="18"/>
        </w:rPr>
        <w:t xml:space="preserve">Changed from the July plan, which based this line on insurance claims. The model now counts it on dispatches: 1.5% of members a year, 60% of whom keep the panel firm, at average fees of AED 25,000.</w:t>
      </w:r>
    </w:p>
  </w:comment>
  <w:comment w:id="13" w:initials="Q" w:author="Question for Jon" w:date="2026-10-07T12:00:00.000Z">
    <w:p>
      <w:r>
        <w:rPr>
          <w:sz w:val="18"/>
          <w:szCs w:val="18"/>
        </w:rPr>
        <w:t xml:space="preserve">Is the per-case referral commission allowed? It is in the projections until you confirm otherwise. Stevan’s instruction (7 October): assume it is allowed until you say it is not; the model has a switch to take it out. In the Base case it is worth AED 0.13M in year one and AED 0.62M in year three.</w:t>
      </w:r>
    </w:p>
  </w:comment>
  <w:comment w:id="14" w:initials="Q" w:author="Question for Jon" w:date="2026-10-07T12:00:00.000Z">
    <w:p>
      <w:r>
        <w:rPr>
          <w:sz w:val="18"/>
          <w:szCs w:val="18"/>
        </w:rPr>
        <w:t xml:space="preserve">Is the panel membership fee from year three workable? The model uses AED 5,000 per firm a month, a placeholder, for four firms: AED 0.24M in year three. What level would firms accept, and is two years free the right start?</w:t>
      </w:r>
    </w:p>
  </w:comment>
  <w:comment w:id="15" w:initials="DN" w:author="Draft note" w:date="2026-10-07T12:00:00.000Z">
    <w:p>
      <w:r>
        <w:rPr>
          <w:sz w:val="18"/>
          <w:szCs w:val="18"/>
        </w:rPr>
        <w:t xml:space="preserve">New since the July plan (Stevan, 7 October).</w:t>
      </w:r>
    </w:p>
  </w:comment>
  <w:comment w:id="16" w:initials="Q" w:author="Question for Jon" w:date="2026-10-07T12:00:00.000Z">
    <w:p>
      <w:r>
        <w:rPr>
          <w:sz w:val="18"/>
          <w:szCs w:val="18"/>
        </w:rPr>
        <w:t xml:space="preserve">Who pays the duty lawyer’s first attendance? The model assumes the member, or the insurance add-on, never ELA.</w:t>
      </w:r>
    </w:p>
  </w:comment>
  <w:comment w:id="17" w:initials="DN" w:author="Draft note" w:date="2026-10-07T12:00:00.000Z">
    <w:p>
      <w:r>
        <w:rPr>
          <w:sz w:val="18"/>
          <w:szCs w:val="18"/>
        </w:rPr>
        <w:t xml:space="preserve">Source: developer.apple.com (Subscriptions; Small Business Program), checked 1 October 2026. Two separate rules. 1) Every subscription: Apple keeps 30% until that member has a year of paid service, then 15%, whatever our size. 2) Small Business Program: 15% on everything, first-year members included, but only while our proceeds stay under USD 1 million in a calendar year (and the year before). Changed from the 2 October draft, which assumed 30% in year one: at the new member numbers the program applies. The model uses 15% in year one for Cautious and Base and 30% for Upside, moves a case to 30% the month after its proceeds pass USD 1 million, and uses a blend of 20% (25% in Upside) in years two and three.</w:t>
      </w:r>
    </w:p>
  </w:comment>
  <w:comment w:id="18" w:initials="DN" w:author="Draft note" w:date="2026-10-07T12:00:00.000Z">
    <w:p>
      <w:r>
        <w:rPr>
          <w:sz w:val="18"/>
          <w:szCs w:val="18"/>
        </w:rPr>
        <w:t xml:space="preserve">Changed from the July plan’s year-one column (200,000 individuals, 50,000 corporate, 25,000 SME and 5,000 embassy members). These are the Base case’s new members in year one, by how the model acquires them. It cannot split company seats between large employers and SMEs, and it counts nothing from embassies.</w:t>
      </w:r>
    </w:p>
  </w:comment>
  <w:comment w:id="19" w:initials="DN" w:author="Draft note" w:date="2026-10-07T12:00:00.000Z">
    <w:p>
      <w:r>
        <w:rPr>
          <w:sz w:val="18"/>
          <w:szCs w:val="18"/>
        </w:rPr>
        <w:t xml:space="preserve">The 31 July list also has “Schn”. Schneider Electric?</w:t>
      </w:r>
    </w:p>
  </w:comment>
  <w:comment w:id="20" w:initials="DN" w:author="Draft note" w:date="2026-10-07T12:00:00.000Z">
    <w:p>
      <w:r>
        <w:rPr>
          <w:sz w:val="18"/>
          <w:szCs w:val="18"/>
        </w:rPr>
        <w:t xml:space="preserve">Checked 1 October 2026: Legal Cover’s terms (https://legalcover.ae/terms-and-conditions/, updated 24 August 2026) say its legal work is provided through partners “including MIO &amp; Partners”, where Ahmed Odeh is Managing Partner. He promoted Legal Cover on TikTok in May 2025.</w:t>
      </w:r>
    </w:p>
  </w:comment>
  <w:comment w:id="21" w:initials="DN" w:author="Draft note" w:date="2026-10-07T12:00:00.000Z">
    <w:p>
      <w:r>
        <w:rPr>
          <w:sz w:val="18"/>
          <w:szCs w:val="18"/>
        </w:rPr>
        <w:t xml:space="preserve">Rewritten on 7 October. The July plan counted every member in its three cases for the whole of year one, with year-one costs of AED 4.62M and no marketing spend, App Store fees or lawyer costs; its base case made AED 241.38M. The reviewer called that unrealistic. This section is now built from a monthly model: members join month by month from paid marketing, some stop, and every cost a member brings is counted. The spreadsheet is ELA-financial-model-2026-10-07.xlsx.</w:t>
      </w:r>
    </w:p>
  </w:comment>
  <w:comment w:id="22" w:initials="DN" w:author="Draft note" w:date="2026-10-07T12:00:00.000Z">
    <w:p>
      <w:r>
        <w:rPr>
          <w:sz w:val="18"/>
          <w:szCs w:val="18"/>
        </w:rPr>
        <w:t xml:space="preserve">For Jon: what moved, in one place. The fuller note is ELA-changes-to-the-numbers-2026-10-07.</w:t>
      </w:r>
    </w:p>
  </w:comment>
  <w:comment w:id="23" w:initials="DN" w:author="Draft note" w:date="2026-10-07T12:00:00.000Z">
    <w:p>
      <w:r>
        <w:rPr>
          <w:sz w:val="18"/>
          <w:szCs w:val="18"/>
        </w:rPr>
        <w:t xml:space="preserve">Changed from the July plan, which had AED 140,000 for an outsourced call centre: enough for an answering service, not a desk that runs cases around the clock. The desk now has two stages (section 6). In the Base case stage 2 starts in month 11.</w:t>
      </w:r>
    </w:p>
  </w:comment>
  <w:comment w:id="24" w:initials="DN" w:author="Draft note" w:date="2026-10-07T12:00:00.000Z">
    <w:p>
      <w:r>
        <w:rPr>
          <w:sz w:val="18"/>
          <w:szCs w:val="18"/>
        </w:rPr>
        <w:t xml:space="preserve">Changed from the July plan’s AED 600,000 for outsourced tech support. AED 1.2M a year (AED 100,000 a month) is about double, allowing for agency rates and a second engineer, as the reviewer advised.</w:t>
      </w:r>
    </w:p>
  </w:comment>
  <w:comment w:id="25" w:initials="Q" w:author="Question for Jon" w:date="2026-10-07T12:00:00.000Z">
    <w:p>
      <w:r>
        <w:rPr>
          <w:sz w:val="18"/>
          <w:szCs w:val="18"/>
        </w:rPr>
        <w:t xml:space="preserve">Founders’ pay: the July plan has none, and neither does the model. Should it?</w:t>
      </w:r>
    </w:p>
  </w:comment>
  <w:comment w:id="26" w:initials="Q" w:author="Question for Jon" w:date="2026-10-07T12:00:00.000Z">
    <w:p>
      <w:r>
        <w:rPr>
          <w:sz w:val="18"/>
          <w:szCs w:val="18"/>
        </w:rPr>
        <w:t xml:space="preserve">One-line bio for the plan, if you want bios in it. (Stevan has none for Andrew or Anna yet, so the chart shows names and roles only.)</w:t>
      </w:r>
    </w:p>
  </w:comment>
  <w:comment w:id="27" w:initials="OI" w:author="Open item" w:date="2026-10-07T12:00:00.000Z">
    <w:p>
      <w:r>
        <w:rPr>
          <w:sz w:val="18"/>
          <w:szCs w:val="18"/>
        </w:rPr>
        <w:t xml:space="preserve">One-line bio, if the plan carries bios.</w:t>
      </w:r>
    </w:p>
  </w:comment>
  <w:comment w:id="28" w:initials="OI" w:author="Open item" w:date="2026-10-07T12:00:00.000Z">
    <w:p>
      <w:r>
        <w:rPr>
          <w:sz w:val="18"/>
          <w:szCs w:val="18"/>
        </w:rPr>
        <w:t xml:space="preserve">Your one-line bio. Should it mention CurrencyTransfer.com and PayPlexo?</w:t>
      </w:r>
    </w:p>
  </w:comment>
  <w:comment w:id="29" w:initials="Q" w:author="Question for Jon" w:date="2026-10-07T12:00:00.000Z">
    <w:p>
      <w:r>
        <w:rPr>
          <w:sz w:val="18"/>
          <w:szCs w:val="18"/>
        </w:rPr>
        <w:t xml:space="preserve">Dev partner: which structure goes in the plan? The budget is now AED 1.2M for 12 months (AED 100,000 a month), about double Stevan’s 600k envelope from the 15 August scope, allowing for agency rates and a second engineer, as the reviewer advised. Against it: the 1.91M in-kind contribution in your 19 August document. No quote has come back since 15 August, and four due-diligence checks are still open. The firm is not named here on purpose.</w:t>
      </w:r>
    </w:p>
  </w:comment>
  <w:comment w:id="30" w:initials="Q" w:author="Question for Jon" w:date="2026-10-07T12:00:00.000Z">
    <w:p>
      <w:r>
        <w:rPr>
          <w:sz w:val="18"/>
          <w:szCs w:val="18"/>
        </w:rPr>
        <w:t xml:space="preserve">Desk quotes: we need quotes for both stages, the on-call desk and a staffed seat. AED 30,000 a seat a month is a placeholder.</w:t>
      </w:r>
    </w:p>
  </w:comment>
  <w:comment w:id="31" w:initials="OI" w:author="Open item" w:date="2026-10-07T12:00:00.000Z">
    <w:p>
      <w:r>
        <w:rPr>
          <w:sz w:val="18"/>
          <w:szCs w:val="18"/>
        </w:rPr>
        <w:t xml:space="preserve">Method: 75 days of recorded ELA work (commits in the app and film repos, and Claude session prompts) in 21 of the 22 weeks since 7 May; 46 of those days ran 6 hours or more. Summing each day’s first-to-last activity gives 580-640 hours; tighter session gaps give 370-470. Calls, device testing and App Store work leave no record.</w:t>
      </w:r>
    </w:p>
    <w:p>
      <w:r>
        <w:rPr>
          <w:sz w:val="18"/>
          <w:szCs w:val="18"/>
        </w:rPr>
        <w:t xml:space="preserve">Value: the hours at your salary rate (salary over 2,080 working hours a year), converted at £1 = AED 4.86 (ECB reference rates, 1 October 2026, through the dirham’s dollar peg of 3.6725). The salary itself stays out of the document.</w:t>
      </w:r>
    </w:p>
  </w:comment>
  <w:comment w:id="32" w:initials="Q" w:author="Question for Jon" w:date="2026-10-07T12:00:00.000Z">
    <w:p>
      <w:r>
        <w:rPr>
          <w:sz w:val="18"/>
          <w:szCs w:val="18"/>
        </w:rPr>
        <w:t xml:space="preserve">Your time: we would like to count your time since May as sweat equity too. What value should go here? Hours at a rate you are comfortable with, or leave it out.</w:t>
      </w:r>
    </w:p>
  </w:comment>
  <w:comment w:id="33" w:initials="OI" w:author="Open item" w:date="2026-10-07T12:00:00.000Z">
    <w:p>
      <w:r>
        <w:rPr>
          <w:sz w:val="18"/>
          <w:szCs w:val="18"/>
        </w:rPr>
        <w:t xml:space="preserve">From your notes, kept high level: Claude, five accounts at USD 200 a month for half of the five months since May (USD 2,500); Codex, one account at USD 200 a month and two for a while (about USD 1,200); two servers at about £35-40 a month each since June (about £300). Still to add: the ela.now domain and the video and audio tools used for the film. The Apple developer fee (USD 99 a year) could go in too.</w:t>
      </w:r>
    </w:p>
  </w:comment>
  <w:comment w:id="34" w:initials="OI" w:author="Open item" w:date="2026-10-07T12:00:00.000Z">
    <w:p>
      <w:r>
        <w:rPr>
          <w:sz w:val="18"/>
          <w:szCs w:val="18"/>
        </w:rPr>
        <w:t xml:space="preserve">Confirm that neither founder has been paid for this time, so it can be called sweat equity.</w:t>
      </w:r>
    </w:p>
  </w:comment>
  <w:comment w:id="35" w:initials="DN" w:author="Draft note" w:date="2026-10-07T12:00:00.000Z">
    <w:p>
      <w:r>
        <w:rPr>
          <w:sz w:val="18"/>
          <w:szCs w:val="18"/>
        </w:rPr>
        <w:t xml:space="preserve">From the competitor scan of 1 October 2026 (one Opus 5.5 run with seven research agents; the full report with links is research/competitors.md). Every claim in this table was re-checked at source on 1 October: legalcover.ae (personal plans, terms, contact page); lawyers.bh/en/sos and /en/about; alarabi.law (criminal law page); Sukoon Travel Easy terms (PDF on sukoon.com); Amex Platinum UAE policy wording (March 2026 PDF, linked from americanexpress.ae); GOV.UK “Arrested or in prison in the UAE”; US State Department UAE page (Wayback copy, 9 July 2026); Federal Decree-Law 34 of 2022 on the legal profession (Ministry of Justice copy); Apple Support (Emergency SOS on iPhone); International SOS (UAE page and its published service list); LegalShield FAQ (Wayback copy, 27 August 2026). Legal Cover’s terms name MIO &amp; Partners, Ahmed Odeh’s firm, as a partner firm.</w:t>
      </w:r>
    </w:p>
  </w:comment>
  <w:comment w:id="36" w:initials="DN" w:author="Draft note" w:date="2026-10-07T12:00:00.000Z">
    <w:p>
      <w:r>
        <w:rPr>
          <w:sz w:val="18"/>
          <w:szCs w:val="18"/>
        </w:rPr>
        <w:t xml:space="preserve">From the scan’s UAE and Gulf research agent: no prepaid membership where one button alerts a lawyer, the consulate and a trusted contact was found in the UAE, Saudi Arabia, Qatar, Kuwait, Bahrain or Oman. Limits: English-language searches; the agent ran out of web searches before Arabic searches for Saudi Arabia and Kuwait. Worth a native-speaker check before an investor reads this as settled.</w:t>
      </w:r>
    </w:p>
  </w:comment>
  <w:comment w:id="37" w:initials="DN" w:author="Draft note" w:date="2026-10-07T12:00:00.000Z">
    <w:p>
      <w:r>
        <w:rPr>
          <w:sz w:val="18"/>
          <w:szCs w:val="18"/>
        </w:rPr>
        <w:t xml:space="preserve">New on 7 October, after the reviewer’s point that “there are a million apps being developed every minute with AI”. The answer: the code is not the moat.</w:t>
      </w:r>
    </w:p>
  </w:comment>
  <w:comment w:id="38" w:initials="OI" w:author="Open item" w:date="2026-10-07T12:00:00.000Z">
    <w:p>
      <w:r>
        <w:rPr>
          <w:sz w:val="18"/>
          <w:szCs w:val="18"/>
        </w:rPr>
        <w:t xml:space="preserve">Stevan: please confirm this wording for the founders, or give a line you prefer. It is kept general on purpose.</w:t>
      </w:r>
    </w:p>
  </w:comment>
  <w:comment w:id="39" w:initials="DN" w:author="Draft note" w:date="2026-10-07T12:00:00.000Z">
    <w:p>
      <w:r>
        <w:rPr>
          <w:sz w:val="18"/>
          <w:szCs w:val="18"/>
        </w:rPr>
        <w:t xml:space="preserve">Federal Decree-Law 34 of 2022 regulating the legal profession, Article 101 (fine AED 20,000 to 200,000; at least a year in prison for a repeat offence) and Article 45(1)(h). Checked at source, Ministry of Justice copy, 1 October 2026.</w:t>
      </w:r>
    </w:p>
  </w:comment>
  <w:comment w:id="40" w:initials="DN" w:author="Draft note" w:date="2026-10-07T12:00:00.000Z">
    <w:p>
      <w:r>
        <w:rPr>
          <w:sz w:val="18"/>
          <w:szCs w:val="18"/>
        </w:rPr>
        <w:t xml:space="preserve">From Stevan’s 28 July review. The scan also points to the Central Bank’s licensed financial activities, which include promoting and marketing insurance (Decree-Law 6/2025, Art. 61); checked at source on 2 October: Art. 61(1)(h) read with (j). Howden, as a licensed broker, may be the answer.</w:t>
      </w:r>
    </w:p>
  </w:comment>
  <w:comment w:id="41" w:initials="Q" w:author="Question for Jon" w:date="2026-10-07T12:00:00.000Z">
    <w:p>
      <w:r>
        <w:rPr>
          <w:sz w:val="18"/>
          <w:szCs w:val="18"/>
        </w:rPr>
        <w:t xml:space="preserve">The raise: is it still AED 7M, and in what form (equity, convertible, other)? Any view on an extended raise or an exit? The plan only includes them if you have a view.</w:t>
      </w:r>
    </w:p>
  </w:comment>
  <w:comment w:id="42" w:initials="DN" w:author="Draft note" w:date="2026-10-07T12:00:00.000Z">
    <w:p>
      <w:r>
        <w:rPr>
          <w:sz w:val="18"/>
          <w:szCs w:val="18"/>
        </w:rPr>
        <w:t xml:space="preserve">Changed from the July plan’s use of funds (Technical 1.2M, Marketing 1.54M, Administration 1.88M, Contingency 2.38M). It is now the Base case’s year one from the model: costs by group, paid for by revenue and by the raise.</w:t>
      </w:r>
    </w:p>
  </w:comment>
  <w:comment w:id="43" w:initials="DN" w:author="Draft note" w:date="2026-10-07T12:00:00.000Z">
    <w:p>
      <w:r>
        <w:rPr>
          <w:sz w:val="18"/>
          <w:szCs w:val="18"/>
        </w:rPr>
        <w:t xml:space="preserve">Changed: the insurer’s claims model is dropped. It was built on the July plan’s member cases, half of them insured; at the new member numbers it no longer applies. The insurer will price the cover.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strument Sans">
    <w:family w:val="auto"/>
    <w:pitch w:val="variable"/>
    <w:sig w:usb0="E0002AFF" w:usb1="C000247B" w:usb2="00000009" w:usb3="00000000" w:csb0="000001FF" w:csb1="00000000"/>
    <w:embedRegular r:id="rId1" w:fontKey="{41886D56-D76D-2D93-8C41-0E3CA7AA0E54}"/>
  </w:font>
  <w:font w:name="Instrument Sans SemiBold">
    <w:family w:val="auto"/>
    <w:pitch w:val="variable"/>
    <w:sig w:usb0="E0002AFF" w:usb1="C000247B" w:usb2="00000009" w:usb3="00000000" w:csb0="000001FF" w:csb1="00000000"/>
    <w:embedRegular r:id="rId2" w:fontKey="{530C1962-5433-3F36-0F43-265A6658A6DC}"/>
  </w:font>
  <w:font w:name="Bricolage Grotesque SemiBold">
    <w:family w:val="auto"/>
    <w:pitch w:val="variable"/>
    <w:sig w:usb0="E0002AFF" w:usb1="C000247B" w:usb2="00000009" w:usb3="00000000" w:csb0="000001FF" w:csb1="00000000"/>
    <w:embedRegular r:id="rId3" w:fontKey="{6DA68D70-E27F-024A-2EA7-DEAD2F3A7C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LAFooter"/>
      <w:pBdr>
        <w:top w:val="single" w:color="D3DDD6" w:sz="4" w:space="6"/>
      </w:pBdr>
      <w:tabs>
        <w:tab w:val="right" w:pos="9412"/>
      </w:tabs>
      <w:spacing w:after="0" w:before="0"/>
      <w:jc w:val="left"/>
    </w:pPr>
    <w:r>
      <w:rPr>
        <w:color w:val="627469"/>
        <w:sz w:val="15"/>
        <w:szCs w:val="15"/>
      </w:rPr>
      <w:t xml:space="preserve">ELA business plan  ·  Draft for review, 7 October 2026  ·  Confidential</w:t>
    </w:r>
    <w:r>
      <w:rPr>
        <w:sz w:val="15"/>
        <w:szCs w:val="15"/>
      </w:rPr>
      <w:t xml:space="preserve">	</w:t>
    </w:r>
    <w:r>
      <w:rPr>
        <w:color w:val="627469"/>
        <w:sz w:val="15"/>
        <w:szCs w:val="15"/>
      </w:rPr>
      <w:t xml:space="preserve">Page </w:t>
    </w:r>
    <w:r>
      <w:rPr>
        <w:color w:val="627469"/>
        <w:sz w:val="15"/>
        <w:szCs w:val="15"/>
      </w:rPr>
      <w:fldChar w:fldCharType="begin"/>
      <w:instrText xml:space="preserve">PAGE</w:instrText>
      <w:fldChar w:fldCharType="separate"/>
      <w:fldChar w:fldCharType="end"/>
    </w:r>
    <w:r>
      <w:rPr>
        <w:color w:val="627469"/>
        <w:sz w:val="15"/>
        <w:szCs w:val="15"/>
      </w:rPr>
      <w:t xml:space="preserve"> of </w:t>
    </w:r>
    <w:r>
      <w:rPr>
        <w:color w:val="62746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rPr>
        <w:rFonts w:ascii="Instrument Sans" w:cs="Instrument Sans" w:eastAsia="Instrument Sans" w:hAnsi="Instrument Sans"/>
        <w:color w:val="0E8F5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strument Sans" w:cs="Instrument Sans" w:eastAsia="Instrument Sans" w:hAnsi="Instrument Sans"/>
        <w:color w:val="13261D"/>
        <w:sz w:val="20"/>
        <w:szCs w:val="20"/>
        <w:lang w:val="en-GB"/>
      </w:rPr>
    </w:rPrDefault>
    <w:pPrDefault>
      <w:pPr>
        <w:spacing w:after="100" w:line="250" w:lineRule="auto"/>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keepLines/>
      <w:spacing w:after="140" w:before="420"/>
    </w:pPr>
    <w:rPr>
      <w:rFonts w:ascii="Bricolage Grotesque SemiBold" w:cs="Bricolage Grotesque SemiBold" w:eastAsia="Bricolage Grotesque SemiBold" w:hAnsi="Bricolage Grotesque SemiBold"/>
      <w:color w:val="13261D"/>
      <w:sz w:val="30"/>
      <w:szCs w:val="30"/>
    </w:rPr>
  </w:style>
  <w:style w:type="paragraph" w:styleId="Heading2">
    <w:name w:val="Heading 2"/>
    <w:basedOn w:val="Normal"/>
    <w:next w:val="Normal"/>
    <w:qFormat/>
    <w:pPr>
      <w:keepNext/>
      <w:spacing w:after="90" w:before="200"/>
    </w:pPr>
    <w:rPr>
      <w:rFonts w:ascii="Instrument Sans SemiBold" w:cs="Instrument Sans SemiBold" w:eastAsia="Instrument Sans SemiBold" w:hAnsi="Instrument Sans SemiBold"/>
      <w:color w:val="13261D"/>
      <w:sz w:val="21"/>
      <w:szCs w:val="21"/>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LAFooter">
    <w:name w:val="ELA Footer"/>
    <w:basedOn w:val="Normal"/>
    <w:rPr>
      <w:color w:val="627469"/>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f64c1ffb9080891621a92d14937081f814d86878.png"/><Relationship Id="rId10" Type="http://schemas.openxmlformats.org/officeDocument/2006/relationships/image" Target="media/31c08a21260f5defb1fb3e85f022499f1d02729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 business plan</dc:title>
  <dc:subject>Draft for review, 7 October 2026</dc:subject>
  <dc:creator>ELA</dc:creator>
  <dc:description>ELA business plan, restructured from the 31 July 2026 plan. Draft for review.</dc:description>
  <cp:lastModifiedBy>ELA</cp:lastModifiedBy>
  <cp:revision>1</cp:revision>
  <dcterms:created xsi:type="dcterms:W3CDTF">2026-10-07T13:07:59.972Z</dcterms:created>
  <dcterms:modified xsi:type="dcterms:W3CDTF">2026-10-07T13:07:59.973Z</dcterms:modified>
</cp:coreProperties>
</file>

<file path=docProps/custom.xml><?xml version="1.0" encoding="utf-8"?>
<Properties xmlns="http://schemas.openxmlformats.org/officeDocument/2006/custom-properties" xmlns:vt="http://schemas.openxmlformats.org/officeDocument/2006/docPropsVTypes"/>
</file>