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lineRule="auto"/>
      </w:pPr>
      <w:r>
        <w:drawing>
          <wp:inline distT="0" distB="0" distL="0" distR="0">
            <wp:extent cx="323850" cy="323850"/>
            <wp:effectExtent t="0" r="0" b="0" l="0"/>
            <wp:docPr id="1" name="ELA icon" descr="ELA app icon" title="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3850" cy="323850"/>
                    </a:xfrm>
                    <a:prstGeom prst="rect">
                      <a:avLst/>
                    </a:prstGeom>
                  </pic:spPr>
                </pic:pic>
              </a:graphicData>
            </a:graphic>
          </wp:inline>
        </w:drawing>
      </w:r>
    </w:p>
    <w:p>
      <w:pPr>
        <w:spacing w:after="40" w:line="240" w:lineRule="auto"/>
      </w:pPr>
      <w:r>
        <w:rPr>
          <w:rFonts w:ascii="Bricolage Grotesque SemiBold" w:cs="Bricolage Grotesque SemiBold" w:eastAsia="Bricolage Grotesque SemiBold" w:hAnsi="Bricolage Grotesque SemiBold"/>
          <w:color w:val="13261D"/>
          <w:sz w:val="40"/>
          <w:szCs w:val="40"/>
        </w:rPr>
        <w:t xml:space="preserve">Changes to the numbers</w:t>
      </w:r>
    </w:p>
    <w:p>
      <w:pPr>
        <w:pBdr>
          <w:bottom w:val="single" w:color="0E8F5C" w:sz="12" w:space="8"/>
        </w:pBdr>
        <w:spacing w:after="160"/>
      </w:pPr>
      <w:r>
        <w:rPr>
          <w:rFonts w:ascii="Instrument Sans" w:cs="Instrument Sans" w:eastAsia="Instrument Sans" w:hAnsi="Instrument Sans"/>
          <w:color w:val="4A5E53"/>
          <w:sz w:val="19"/>
          <w:szCs w:val="19"/>
        </w:rPr>
        <w:t xml:space="preserve">For Jon, from Stevan  ·  7 October 2026  ·  Confidential</w:t>
      </w:r>
    </w:p>
    <w:p>
      <w:pPr>
        <w:spacing w:after="90" w:before="0" w:line="250" w:lineRule="auto"/>
      </w:pPr>
      <w:r>
        <w:rPr>
          <w:rFonts w:ascii="Instrument Sans" w:cs="Instrument Sans" w:eastAsia="Instrument Sans" w:hAnsi="Instrument Sans"/>
          <w:color w:val="13261D"/>
          <w:sz w:val="19"/>
          <w:szCs w:val="19"/>
        </w:rPr>
        <w:t xml:space="preserve">Jon, a reviewer read the July plan and called its numbers unrealistic: 300,000 subscribers and AED 241M of profit in year one on AED 4.6M of costs, with almost no marketing, no lawyer costs and no App Store fees. They asked for a clearer plan that shows the cascade from price to profit and allows for contingencies and marketing, and for development at about double the at-cost figure.</w:t>
      </w:r>
    </w:p>
    <w:p>
      <w:pPr>
        <w:spacing w:after="90" w:before="0" w:line="250" w:lineRule="auto"/>
      </w:pPr>
      <w:r>
        <w:rPr>
          <w:rFonts w:ascii="Instrument Sans" w:cs="Instrument Sans" w:eastAsia="Instrument Sans" w:hAnsi="Instrument Sans"/>
          <w:color w:val="13261D"/>
          <w:sz w:val="19"/>
          <w:szCs w:val="19"/>
        </w:rPr>
        <w:t xml:space="preserve">So we rebuilt the numbers as a monthly model over three years, in three cases. Members now join month by month from paid marketing and word of mouth, some stop paying, and every cost is counted. The plan and teaser of 7 October use it. The spreadsheet is ELA-financial-model-2026-10-07.xlsx; every input has its source.</w:t>
      </w:r>
    </w:p>
    <w:p>
      <w:pPr>
        <w:keepNext/>
        <w:spacing w:after="80" w:before="200" w:line="240" w:lineRule="auto"/>
      </w:pPr>
      <w:r>
        <w:rPr>
          <w:rFonts w:ascii="Instrument Sans SemiBold" w:cs="Instrument Sans SemiBold" w:eastAsia="Instrument Sans SemiBold" w:hAnsi="Instrument Sans SemiBold"/>
          <w:color w:val="0B7549"/>
          <w:sz w:val="22"/>
          <w:szCs w:val="22"/>
        </w:rPr>
        <w:t xml:space="preserve">What changed, and why</w:t>
      </w:r>
    </w:p>
    <w:tbl>
      <w:tblPr>
        <w:tblW w:type="dxa" w:w="96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700"/>
        <w:gridCol w:w="2500"/>
        <w:gridCol w:w="3638"/>
        <w:gridCol w:w="1800"/>
      </w:tblGrid>
      <w:tr>
        <w:trPr>
          <w:cantSplit/>
          <w:tblHeader/>
        </w:trPr>
        <w:tc>
          <w:tcPr>
            <w:tcW w:type="dxa" w:w="17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p>
        </w:tc>
        <w:tc>
          <w:tcPr>
            <w:tcW w:type="dxa" w:w="25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July plan</w:t>
            </w:r>
          </w:p>
        </w:tc>
        <w:tc>
          <w:tcPr>
            <w:tcW w:type="dxa" w:w="363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Now (Base case unless shown)</w:t>
            </w:r>
          </w:p>
        </w:tc>
        <w:tc>
          <w:tcPr>
            <w:tcW w:type="dxa" w:w="18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4"/>
                <w:szCs w:val="14"/>
              </w:rPr>
              <w:t xml:space="preserve">Why</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Members in year one</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300,000, counted for the whole year</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Join month by month: 10,969 at the end of year one (Cautious 2,756, Upside 33,031)</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Reviewer; your 28 July notes said 7,000 to 45,000</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Marketing</w:t>
            </w:r>
          </w:p>
        </w:tc>
        <w:tc>
          <w:tcPr>
            <w:tcW w:type="dxa" w:w="2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480,000 of social ads</w:t>
            </w:r>
          </w:p>
        </w:tc>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150,000 a month of paid installs in year one (200,000 and 250,000 after), plus Helios, PR and creators: AED 2.9M in year one</w:t>
            </w:r>
          </w:p>
        </w:tc>
        <w:tc>
          <w:tcPr>
            <w:tcW w:type="dxa" w:w="18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Reviewer: allow for marketing</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VAT and Apple</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taken off</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5% VAT off first. Apple 15% in year one (Small Business Program, under USD 1M); 30% once a case passes that; a blended 20% after</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App Store rules</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Company seats</w:t>
            </w:r>
          </w:p>
        </w:tc>
        <w:tc>
          <w:tcPr>
            <w:tcW w:type="dxa" w:w="2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Not modelled</w:t>
            </w:r>
          </w:p>
        </w:tc>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500 a seat a year, by contract, no Apple fee: 400 seats a month from month 5</w:t>
            </w:r>
          </w:p>
        </w:tc>
        <w:tc>
          <w:tcPr>
            <w:tcW w:type="dxa" w:w="18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New revenue line</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Insurance</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Half of members insured</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15% of members take the add-on from month 6 (5% and 25% in the other cases)</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More realistic take-up</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 referral</w:t>
            </w:r>
          </w:p>
        </w:tc>
        <w:tc>
          <w:tcPr>
            <w:tcW w:type="dxa" w:w="2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Built on insurance claims</w:t>
            </w:r>
          </w:p>
        </w:tc>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Dispatches (1.5% of members a year) x 60% keep the firm x AED 25,000 fees x 10%. Switched on, with a switch to remove it</w:t>
            </w:r>
          </w:p>
        </w:tc>
        <w:tc>
          <w:tcPr>
            <w:tcW w:type="dxa" w:w="18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Counted until you confirm</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Law firms</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One firm</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 panel of 3 to 5 (4 in the model). Free for two years, then AED 5,000 per firm a month. ELA pays firms nothing</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Stevan, 7 October</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Delivery team</w:t>
            </w:r>
          </w:p>
        </w:tc>
        <w:tc>
          <w:tcPr>
            <w:tcW w:type="dxa" w:w="2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600,000</w:t>
            </w:r>
          </w:p>
        </w:tc>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1.2M a year</w:t>
            </w:r>
          </w:p>
        </w:tc>
        <w:tc>
          <w:tcPr>
            <w:tcW w:type="dxa" w:w="18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Reviewer: allow double</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24/7 desk</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140,000 call centre</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On-call desk at AED 15,000 a month; staffed seats at AED 30,000 each from 10,000 members (month 11 in Base)</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 real budget line</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Legal and accounting</w:t>
            </w:r>
          </w:p>
        </w:tc>
        <w:tc>
          <w:tcPr>
            <w:tcW w:type="dxa" w:w="2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None</w:t>
            </w:r>
          </w:p>
        </w:tc>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7,500 a month, plus AED 50,000 once for legal opinions, the entity and licences</w:t>
            </w:r>
          </w:p>
        </w:tc>
        <w:tc>
          <w:tcPr>
            <w:tcW w:type="dxa" w:w="18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Needed before launch</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Contingency</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2.38M inside the raise</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15% on every operating cost</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Reviewer</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Year-one costs</w:t>
            </w:r>
          </w:p>
        </w:tc>
        <w:tc>
          <w:tcPr>
            <w:tcW w:type="dxa" w:w="25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4.62M</w:t>
            </w:r>
          </w:p>
        </w:tc>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AED 8.0M, against AED 6.2M of revenue</w:t>
            </w:r>
          </w:p>
        </w:tc>
        <w:tc>
          <w:tcPr>
            <w:tcW w:type="dxa" w:w="18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All of the above</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6"/>
                <w:szCs w:val="16"/>
              </w:rPr>
              <w:t xml:space="preserve">Runway</w:t>
            </w:r>
          </w:p>
        </w:tc>
        <w:tc>
          <w:tcPr>
            <w:tcW w:type="dxa" w:w="25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About 18 months</w:t>
            </w:r>
          </w:p>
        </w:tc>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Base: cash never runs out (lowest AED 5.2M, month 8). Cautious: 14 months</w:t>
            </w:r>
          </w:p>
        </w:tc>
        <w:tc>
          <w:tcPr>
            <w:tcW w:type="dxa" w:w="18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val="false"/>
              <w:spacing w:after="0" w:before="0" w:line="235" w:lineRule="auto"/>
            </w:pPr>
            <w:r>
              <w:rPr>
                <w:rFonts w:ascii="Instrument Sans" w:cs="Instrument Sans" w:eastAsia="Instrument Sans" w:hAnsi="Instrument Sans"/>
                <w:color w:val="13261D"/>
                <w:sz w:val="16"/>
                <w:szCs w:val="16"/>
              </w:rPr>
              <w:t xml:space="preserve">From the model</w:t>
            </w:r>
          </w:p>
        </w:tc>
      </w:tr>
    </w:tbl>
    <w:p>
      <w:pPr>
        <w:keepNext/>
        <w:spacing w:after="80" w:before="200" w:line="240" w:lineRule="auto"/>
      </w:pPr>
      <w:r>
        <w:rPr>
          <w:rFonts w:ascii="Instrument Sans SemiBold" w:cs="Instrument Sans SemiBold" w:eastAsia="Instrument Sans SemiBold" w:hAnsi="Instrument Sans SemiBold"/>
          <w:color w:val="0B7549"/>
          <w:sz w:val="22"/>
          <w:szCs w:val="22"/>
        </w:rPr>
        <w:t xml:space="preserve">The three cases</w:t>
      </w:r>
    </w:p>
    <w:tbl>
      <w:tblPr>
        <w:tblW w:type="dxa" w:w="96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638"/>
        <w:gridCol w:w="2000"/>
        <w:gridCol w:w="2000"/>
        <w:gridCol w:w="2000"/>
      </w:tblGrid>
      <w:tr>
        <w:trPr>
          <w:cantSplit/>
          <w:tblHeader/>
        </w:trPr>
        <w:tc>
          <w:tcPr>
            <w:tcW w:type="dxa" w:w="363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4A5E53"/>
                <w:sz w:val="15"/>
                <w:szCs w:val="15"/>
              </w:rPr>
              <w:t xml:space="preserve">AED million unless shown</w:t>
            </w:r>
          </w:p>
        </w:tc>
        <w:tc>
          <w:tcPr>
            <w:tcW w:type="dxa" w:w="20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5"/>
                <w:szCs w:val="15"/>
              </w:rPr>
              <w:t xml:space="preserve">Cautious</w:t>
            </w:r>
          </w:p>
        </w:tc>
        <w:tc>
          <w:tcPr>
            <w:tcW w:type="dxa" w:w="20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5"/>
                <w:szCs w:val="15"/>
              </w:rPr>
              <w:t xml:space="preserve">Base</w:t>
            </w:r>
          </w:p>
        </w:tc>
        <w:tc>
          <w:tcPr>
            <w:tcW w:type="dxa" w:w="20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5"/>
                <w:szCs w:val="15"/>
              </w:rPr>
              <w:t xml:space="preserve">Upside</w:t>
            </w:r>
          </w:p>
        </w:tc>
      </w:tr>
      <w:tr>
        <w:trPr>
          <w:cantSplit/>
        </w:trPr>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Members at the end of year one</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2,756</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10,969</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33,031</w:t>
            </w:r>
          </w:p>
        </w:tc>
      </w:tr>
      <w:tr>
        <w:trPr>
          <w:cantSplit/>
        </w:trPr>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Net revenue, year one</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1.6</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6.2</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17.1</w:t>
            </w:r>
          </w:p>
        </w:tc>
      </w:tr>
      <w:tr>
        <w:trPr>
          <w:cantSplit/>
        </w:trPr>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Result, year one</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(6.0)</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(1.8)</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8.0</w:t>
            </w:r>
          </w:p>
        </w:tc>
      </w:tr>
      <w:tr>
        <w:trPr>
          <w:cantSplit/>
        </w:trPr>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Result, year three</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(3.8)</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10.1</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48.0</w:t>
            </w:r>
          </w:p>
        </w:tc>
      </w:tr>
      <w:tr>
        <w:trPr>
          <w:cantSplit/>
        </w:trPr>
        <w:tc>
          <w:tcPr>
            <w:tcW w:type="dxa" w:w="36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First month with a profit</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None in 3 years</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Month 9</w:t>
            </w:r>
          </w:p>
        </w:tc>
        <w:tc>
          <w:tcPr>
            <w:tcW w:type="dxa" w:w="20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Month 3</w:t>
            </w:r>
          </w:p>
        </w:tc>
      </w:tr>
      <w:tr>
        <w:trPr>
          <w:cantSplit/>
        </w:trPr>
        <w:tc>
          <w:tcPr>
            <w:tcW w:type="dxa" w:w="36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Cash runs out</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Month 15</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No</w:t>
            </w:r>
          </w:p>
        </w:tc>
        <w:tc>
          <w:tcPr>
            <w:tcW w:type="dxa" w:w="20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No</w:t>
            </w:r>
          </w:p>
        </w:tc>
      </w:tr>
    </w:tbl>
    <w:p>
      <w:pPr>
        <w:spacing w:after="60" w:before="60" w:line="250" w:lineRule="auto"/>
      </w:pPr>
      <w:r>
        <w:rPr>
          <w:rFonts w:ascii="Instrument Sans" w:cs="Instrument Sans" w:eastAsia="Instrument Sans" w:hAnsi="Instrument Sans"/>
          <w:color w:val="4A5E53"/>
          <w:sz w:val="16"/>
          <w:szCs w:val="16"/>
        </w:rPr>
        <w:t xml:space="preserve">What separates the cases is the cost per install (AED 25, 15 or 10) and how many installs pay (3%, 5% or 8%). We have no market figure for either yet; the first months of paid campaigns will tell us.</w:t>
      </w:r>
    </w:p>
    <w:p>
      <w:pPr>
        <w:keepNext/>
        <w:spacing w:after="80" w:before="200" w:line="240" w:lineRule="auto"/>
      </w:pPr>
      <w:r>
        <w:rPr>
          <w:rFonts w:ascii="Instrument Sans SemiBold" w:cs="Instrument Sans SemiBold" w:eastAsia="Instrument Sans SemiBold" w:hAnsi="Instrument Sans SemiBold"/>
          <w:color w:val="0B7549"/>
          <w:sz w:val="22"/>
          <w:szCs w:val="22"/>
        </w:rPr>
        <w:t xml:space="preserve">Questions for you</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Referral commission.</w:t>
      </w:r>
      <w:r>
        <w:rPr>
          <w:rFonts w:ascii="Instrument Sans" w:cs="Instrument Sans" w:eastAsia="Instrument Sans" w:hAnsi="Instrument Sans"/>
          <w:color w:val="13261D"/>
          <w:sz w:val="19"/>
          <w:szCs w:val="19"/>
        </w:rPr>
        <w:t xml:space="preserve"> Is a per-case commission from the firm allowed under Federal Decree-Law 34 of 2022, Art. 101? It is in the projections until you confirm otherwise; the model has a switch to take it out.</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Panel fee.</w:t>
      </w:r>
      <w:r>
        <w:rPr>
          <w:rFonts w:ascii="Instrument Sans" w:cs="Instrument Sans" w:eastAsia="Instrument Sans" w:hAnsi="Instrument Sans"/>
          <w:color w:val="13261D"/>
          <w:sz w:val="19"/>
          <w:szCs w:val="19"/>
        </w:rPr>
        <w:t xml:space="preserve"> Is a panel membership fee from year three workable, and at what level? AED 5,000 per firm a month is a placeholder. Is two years free the right start?</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Duty lawyer.</w:t>
      </w:r>
      <w:r>
        <w:rPr>
          <w:rFonts w:ascii="Instrument Sans" w:cs="Instrument Sans" w:eastAsia="Instrument Sans" w:hAnsi="Instrument Sans"/>
          <w:color w:val="13261D"/>
          <w:sz w:val="19"/>
          <w:szCs w:val="19"/>
        </w:rPr>
        <w:t xml:space="preserve"> Who pays the duty lawyer’s first attendance? The model assumes the member, or the insurance add-on, never ELA.</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The 24/7 desk.</w:t>
      </w:r>
      <w:r>
        <w:rPr>
          <w:rFonts w:ascii="Instrument Sans" w:cs="Instrument Sans" w:eastAsia="Instrument Sans" w:hAnsi="Instrument Sans"/>
          <w:color w:val="13261D"/>
          <w:sz w:val="19"/>
          <w:szCs w:val="19"/>
        </w:rPr>
        <w:t xml:space="preserve"> We need quotes for both stages: the on-call desk and a staffed seat.</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Board fees and office.</w:t>
      </w:r>
      <w:r>
        <w:rPr>
          <w:rFonts w:ascii="Instrument Sans" w:cs="Instrument Sans" w:eastAsia="Instrument Sans" w:hAnsi="Instrument Sans"/>
          <w:color w:val="13261D"/>
          <w:sz w:val="19"/>
          <w:szCs w:val="19"/>
        </w:rPr>
        <w:t xml:space="preserve"> Do the AED 40,000 a month of board fees and the AED 41,667 a month office need to start in month 1, or can they wait for members?</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Founders’ pay.</w:t>
      </w:r>
      <w:r>
        <w:rPr>
          <w:rFonts w:ascii="Instrument Sans" w:cs="Instrument Sans" w:eastAsia="Instrument Sans" w:hAnsi="Instrument Sans"/>
          <w:color w:val="13261D"/>
          <w:sz w:val="19"/>
          <w:szCs w:val="19"/>
        </w:rPr>
        <w:t xml:space="preserve"> The July plan has none, and neither does the model. Should it?</w:t>
      </w:r>
    </w:p>
    <w:p>
      <w:pPr>
        <w:pStyle w:val="ListParagraph"/>
        <w:keepLines/>
        <w:numPr>
          <w:ilvl w:val="0"/>
          <w:numId w:val="2"/>
        </w:numPr>
        <w:spacing w:after="0" w:before="0" w:line="245" w:lineRule="auto"/>
      </w:pPr>
      <w:r>
        <w:rPr>
          <w:rFonts w:ascii="Instrument Sans SemiBold" w:cs="Instrument Sans SemiBold" w:eastAsia="Instrument Sans SemiBold" w:hAnsi="Instrument Sans SemiBold"/>
          <w:color w:val="13261D"/>
          <w:sz w:val="19"/>
          <w:szCs w:val="19"/>
        </w:rPr>
        <w:t xml:space="preserve">Insurance take-up.</w:t>
      </w:r>
      <w:r>
        <w:rPr>
          <w:rFonts w:ascii="Instrument Sans" w:cs="Instrument Sans" w:eastAsia="Instrument Sans" w:hAnsi="Instrument Sans"/>
          <w:color w:val="13261D"/>
          <w:sz w:val="19"/>
          <w:szCs w:val="19"/>
        </w:rPr>
        <w:t xml:space="preserve"> 5%, 15% or 25% of members, against the July plan’s 50%. Do Howden and AIG have a view?</w:t>
      </w:r>
    </w:p>
    <w:sectPr>
      <w:footerReference w:type="default" r:id="rId6"/>
      <w:pgSz w:w="11906" w:h="16838" w:orient="portrait"/>
      <w:pgMar w:top="1000" w:right="1134" w:bottom="900" w:left="1134"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6937ABF7-2498-8DF1-36B9-AADA80F34806}"/>
  </w:font>
  <w:font w:name="Instrument Sans SemiBold">
    <w:family w:val="auto"/>
    <w:pitch w:val="variable"/>
    <w:sig w:usb0="E0002AFF" w:usb1="C000247B" w:usb2="00000009" w:usb3="00000000" w:csb0="000001FF" w:csb1="00000000"/>
    <w:embedRegular r:id="rId2" w:fontKey="{BA9730C3-8491-2E8A-97D5-23B9F5764706}"/>
  </w:font>
  <w:font w:name="Bricolage Grotesque SemiBold">
    <w:family w:val="auto"/>
    <w:pitch w:val="variable"/>
    <w:sig w:usb0="E0002AFF" w:usb1="C000247B" w:usb2="00000009" w:usb3="00000000" w:csb0="000001FF" w:csb1="00000000"/>
    <w:embedRegular r:id="rId3" w:fontKey="{FCF46A3A-BCEA-7C21-C91D-4763018521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color w:val="627469"/>
        <w:sz w:val="14"/>
        <w:szCs w:val="14"/>
      </w:rPr>
      <w:t xml:space="preserve">ELA  ·  Changes to the numbers  ·  7 October 2026  ·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rPr>
        <w:rFonts w:ascii="Instrument Sans" w:cs="Instrument Sans" w:eastAsia="Instrument Sans" w:hAnsi="Instrument Sans"/>
        <w:color w:val="0E8F5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13261D"/>
        <w:sz w:val="19"/>
        <w:szCs w:val="19"/>
        <w:lang w:val="en-GB"/>
      </w:rPr>
    </w:rPrDefault>
    <w:pPrDefault>
      <w:pPr>
        <w:spacing w:after="80" w:line="250"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64c1ffb9080891621a92d14937081f814d8687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changes to the numbers</dc:title>
  <dc:subject>7 October 2026</dc:subject>
  <dc:creator>ELA</dc:creator>
  <cp:lastModifiedBy>ELA</cp:lastModifiedBy>
  <cp:revision>1</cp:revision>
  <dcterms:created xsi:type="dcterms:W3CDTF">2026-10-07T13:07:23.434Z</dcterms:created>
  <dcterms:modified xsi:type="dcterms:W3CDTF">2026-10-07T13:07:23.434Z</dcterms:modified>
</cp:coreProperties>
</file>

<file path=docProps/custom.xml><?xml version="1.0" encoding="utf-8"?>
<Properties xmlns="http://schemas.openxmlformats.org/officeDocument/2006/custom-properties" xmlns:vt="http://schemas.openxmlformats.org/officeDocument/2006/docPropsVTypes"/>
</file>