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60"/>
        <w:gridCol w:w="9000"/>
        <w:gridCol w:w="5078"/>
      </w:tblGrid>
      <w:tr>
        <w:trPr>
          <w:cantSplit/>
        </w:trPr>
        <w:tc>
          <w:tcPr>
            <w:tcW w:type="dxa" w:w="76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line="240" w:lineRule="auto"/>
            </w:pPr>
            <w:r>
              <w:drawing>
                <wp:inline distT="0" distB="0" distL="0" distR="0">
                  <wp:extent cx="381000" cy="381000"/>
                  <wp:effectExtent t="0" r="0" b="0" l="0"/>
                  <wp:docPr id="1" name="ELA icon" descr="ELA app icon" title="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 cy="381000"/>
                          </a:xfrm>
                          <a:prstGeom prst="rect">
                            <a:avLst/>
                          </a:prstGeom>
                        </pic:spPr>
                      </pic:pic>
                    </a:graphicData>
                  </a:graphic>
                </wp:inline>
              </w:drawing>
            </w:r>
          </w:p>
        </w:tc>
        <w:tc>
          <w:tcPr>
            <w:tcW w:type="dxa" w:w="90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20" w:line="240" w:lineRule="auto"/>
            </w:pPr>
            <w:r>
              <w:rPr>
                <w:rFonts w:ascii="Bricolage Grotesque SemiBold" w:cs="Bricolage Grotesque SemiBold" w:eastAsia="Bricolage Grotesque SemiBold" w:hAnsi="Bricolage Grotesque SemiBold"/>
                <w:color w:val="13261D"/>
                <w:sz w:val="40"/>
                <w:szCs w:val="40"/>
              </w:rPr>
              <w:t xml:space="preserve">ELA sources and references</w:t>
            </w:r>
          </w:p>
          <w:p>
            <w:pPr>
              <w:spacing w:after="0" w:line="240" w:lineRule="auto"/>
            </w:pPr>
            <w:r>
              <w:rPr>
                <w:rFonts w:ascii="Instrument Sans" w:cs="Instrument Sans" w:eastAsia="Instrument Sans" w:hAnsi="Instrument Sans"/>
                <w:color w:val="4A5E53"/>
                <w:sz w:val="20"/>
                <w:szCs w:val="20"/>
              </w:rPr>
              <w:t xml:space="preserve">Checked 1-2 October 2026</w:t>
            </w:r>
          </w:p>
        </w:tc>
        <w:tc>
          <w:tcPr>
            <w:tcW w:type="dxa" w:w="507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line="240" w:lineRule="auto"/>
              <w:jc w:val="right"/>
            </w:pPr>
            <w:r>
              <w:rPr>
                <w:rFonts w:ascii="Instrument Sans SemiBold" w:cs="Instrument Sans SemiBold" w:eastAsia="Instrument Sans SemiBold" w:hAnsi="Instrument Sans SemiBold"/>
                <w:color w:val="0B7549"/>
                <w:sz w:val="18"/>
                <w:szCs w:val="18"/>
              </w:rPr>
              <w:t xml:space="preserve">Confidential, for the founders</w:t>
            </w:r>
          </w:p>
        </w:tc>
      </w:tr>
    </w:tbl>
    <w:p>
      <w:pPr>
        <w:pBdr>
          <w:bottom w:val="single" w:color="0E8F5C" w:sz="12" w:space="1"/>
        </w:pBdr>
        <w:spacing w:after="160" w:before="60" w:line="120" w:lineRule="auto"/>
      </w:pPr>
    </w:p>
    <w:tbl>
      <w:tblPr>
        <w:tblW w:type="dxa" w:w="148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0"/>
        <w:gridCol w:w="400"/>
        <w:gridCol w:w="7538"/>
      </w:tblGrid>
      <w:tr>
        <w:trPr>
          <w:cantSplit/>
        </w:trPr>
        <w:tc>
          <w:tcPr>
            <w:tcW w:type="dxa" w:w="69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70" w:before="0" w:line="240" w:lineRule="auto"/>
            </w:pPr>
            <w:r>
              <w:rPr>
                <w:rFonts w:ascii="Instrument Sans SemiBold" w:cs="Instrument Sans SemiBold" w:eastAsia="Instrument Sans SemiBold" w:hAnsi="Instrument Sans SemiBold"/>
                <w:color w:val="0B7549"/>
                <w:sz w:val="19"/>
                <w:szCs w:val="19"/>
              </w:rPr>
              <w:t xml:space="preserve">What this is</w:t>
            </w:r>
          </w:p>
          <w:p>
            <w:pPr>
              <w:spacing w:after="120" w:before="0" w:line="245" w:lineRule="auto"/>
            </w:pPr>
            <w:r>
              <w:rPr>
                <w:rFonts w:ascii="Instrument Sans" w:cs="Instrument Sans" w:eastAsia="Instrument Sans" w:hAnsi="Instrument Sans"/>
                <w:color w:val="13261D"/>
                <w:sz w:val="17"/>
                <w:szCs w:val="17"/>
              </w:rPr>
              <w:t xml:space="preserve">Every fact in our materials that came from research rather than from Jon or Stevan, with the source behind it, so anyone can spot-check it. Figures that came from the founders are listed at the end (section 7) so nobody mistakes them for sourced facts.</w:t>
            </w:r>
          </w:p>
          <w:p>
            <w:pPr>
              <w:keepNext/>
              <w:spacing w:after="70" w:before="0" w:line="240" w:lineRule="auto"/>
            </w:pPr>
            <w:r>
              <w:rPr>
                <w:rFonts w:ascii="Instrument Sans SemiBold" w:cs="Instrument Sans SemiBold" w:eastAsia="Instrument Sans SemiBold" w:hAnsi="Instrument Sans SemiBold"/>
                <w:color w:val="0B7549"/>
                <w:sz w:val="19"/>
                <w:szCs w:val="19"/>
              </w:rPr>
              <w:t xml:space="preserve">How to read the tables</w:t>
            </w:r>
          </w:p>
          <w:p>
            <w:pPr>
              <w:pStyle w:val="ListParagraph"/>
              <w:keepLines/>
              <w:numPr>
                <w:ilvl w:val="0"/>
                <w:numId w:val="2"/>
              </w:numPr>
              <w:spacing w:after="50" w:before="0" w:line="240" w:lineRule="auto"/>
            </w:pPr>
            <w:r>
              <w:rPr>
                <w:rFonts w:ascii="Instrument Sans SemiBold" w:cs="Instrument Sans SemiBold" w:eastAsia="Instrument Sans SemiBold" w:hAnsi="Instrument Sans SemiBold"/>
                <w:color w:val="13261D"/>
                <w:sz w:val="17"/>
                <w:szCs w:val="17"/>
              </w:rPr>
              <w:t xml:space="preserve">Where it appears.</w:t>
            </w:r>
            <w:r>
              <w:rPr>
                <w:rFonts w:ascii="Instrument Sans" w:cs="Instrument Sans" w:eastAsia="Instrument Sans" w:hAnsi="Instrument Sans"/>
                <w:color w:val="13261D"/>
                <w:sz w:val="17"/>
                <w:szCs w:val="17"/>
              </w:rPr>
              <w:t xml:space="preserve"> Plan: the business plan draft of 2 October, by section (s1 to s9). Its Word comments, and the referral-commission point, are only in the Jon edition (ELA-business-plan-draft-2026-10-02-jon.docx). Teaser: the one-page teaser of 2 October. Briefing: Stevan’s briefing page, by section. Outreach: the launch outreach list.</w:t>
            </w:r>
          </w:p>
          <w:p>
            <w:pPr>
              <w:pStyle w:val="ListParagraph"/>
              <w:keepLines/>
              <w:numPr>
                <w:ilvl w:val="0"/>
                <w:numId w:val="2"/>
              </w:numPr>
              <w:spacing w:after="50" w:before="0" w:line="240" w:lineRule="auto"/>
            </w:pPr>
            <w:r>
              <w:rPr>
                <w:rFonts w:ascii="Instrument Sans SemiBold" w:cs="Instrument Sans SemiBold" w:eastAsia="Instrument Sans SemiBold" w:hAnsi="Instrument Sans SemiBold"/>
                <w:color w:val="13261D"/>
                <w:sz w:val="17"/>
                <w:szCs w:val="17"/>
              </w:rPr>
              <w:t xml:space="preserve">Checked.</w:t>
            </w:r>
            <w:r>
              <w:rPr>
                <w:rFonts w:ascii="Instrument Sans" w:cs="Instrument Sans" w:eastAsia="Instrument Sans" w:hAnsi="Instrument Sans"/>
                <w:color w:val="13261D"/>
                <w:sz w:val="17"/>
                <w:szCs w:val="17"/>
              </w:rPr>
              <w:t xml:space="preserve"> “2 Oct 2026” means the source was opened again today and the quote read at source. “1 Oct” or “30 Sep” means it was checked then and not reopened today. “Derived” means our own arithmetic on sourced inputs. “Partly” means the source supports a narrower claim than our wording.</w:t>
            </w:r>
          </w:p>
          <w:p>
            <w:pPr>
              <w:pStyle w:val="ListParagraph"/>
              <w:keepLines/>
              <w:numPr>
                <w:ilvl w:val="0"/>
                <w:numId w:val="2"/>
              </w:numPr>
              <w:spacing w:after="0" w:before="0" w:line="240" w:lineRule="auto"/>
            </w:pPr>
            <w:r>
              <w:rPr>
                <w:rFonts w:ascii="Instrument Sans SemiBold" w:cs="Instrument Sans SemiBold" w:eastAsia="Instrument Sans SemiBold" w:hAnsi="Instrument Sans SemiBold"/>
                <w:color w:val="13261D"/>
                <w:sz w:val="17"/>
                <w:szCs w:val="17"/>
              </w:rPr>
              <w:t xml:space="preserve">Link status.</w:t>
            </w:r>
            <w:r>
              <w:rPr>
                <w:rFonts w:ascii="Instrument Sans" w:cs="Instrument Sans" w:eastAsia="Instrument Sans" w:hAnsi="Instrument Sans"/>
                <w:color w:val="13261D"/>
                <w:sz w:val="17"/>
                <w:szCs w:val="17"/>
              </w:rPr>
              <w:t xml:space="preserve"> The result of a plain automated request (curl with a browser user agent, following redirects) between 09:15 and 09:35 UTC on 2 October. 200 means the page loaded. 403 means the site blocks automated requests; it normally opens in a browser. Where a site served a bot check, the content was read through the Wayback Machine or a headless browser.</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7538"/>
            <w:tcBorders>
              <w:top w:val="single" w:color="0E8F5C" w:sz="18"/>
              <w:left w:val="none" w:color="FFFFFF" w:sz="0"/>
              <w:bottom w:val="none" w:color="FFFFFF" w:sz="0"/>
              <w:right w:val="none" w:color="FFFFFF" w:sz="0"/>
            </w:tcBorders>
            <w:shd w:fill="F2F6F2" w:color="auto" w:val="clear"/>
            <w:tcMar>
              <w:top w:type="dxa" w:w="140"/>
              <w:left w:type="dxa" w:w="200"/>
              <w:bottom w:type="dxa" w:w="140"/>
              <w:right w:type="dxa" w:w="180"/>
            </w:tcMar>
            <w:vAlign w:val="top"/>
          </w:tcPr>
          <w:p>
            <w:pPr>
              <w:keepNext/>
              <w:spacing w:after="70" w:before="0" w:line="240" w:lineRule="auto"/>
            </w:pPr>
            <w:r>
              <w:rPr>
                <w:rFonts w:ascii="Instrument Sans SemiBold" w:cs="Instrument Sans SemiBold" w:eastAsia="Instrument Sans SemiBold" w:hAnsi="Instrument Sans SemiBold"/>
                <w:color w:val="0B7549"/>
                <w:sz w:val="19"/>
                <w:szCs w:val="19"/>
              </w:rPr>
              <w:t xml:space="preserve">What the checks found</w:t>
            </w:r>
          </w:p>
          <w:p>
            <w:pPr>
              <w:spacing w:after="60" w:before="0" w:line="240" w:lineRule="auto"/>
            </w:pPr>
            <w:r>
              <w:rPr>
                <w:rFonts w:ascii="Instrument Sans" w:cs="Instrument Sans" w:eastAsia="Instrument Sans" w:hAnsi="Instrument Sans"/>
                <w:color w:val="13261D"/>
                <w:sz w:val="16"/>
                <w:szCs w:val="16"/>
              </w:rPr>
              <w:t xml:space="preserve">Of 43 items, 30 are confirmed at source (27 of them re-opened on 2 October) and 4 more are our arithmetic that checks out; 1 negative finding is not contradicted; 7 are only partly supported and 1 is not confirmed. The Odeh and Legal Cover facts hold, and the 2025 promotion is the TikTok video of 22 May 2025 (P3).</w:t>
            </w:r>
          </w:p>
          <w:p>
            <w:pPr>
              <w:keepNext/>
              <w:spacing w:after="50" w:before="80" w:line="235" w:lineRule="auto"/>
            </w:pPr>
            <w:r>
              <w:rPr>
                <w:rFonts w:ascii="Instrument Sans SemiBold" w:cs="Instrument Sans SemiBold" w:eastAsia="Instrument Sans SemiBold" w:hAnsi="Instrument Sans SemiBold"/>
                <w:color w:val="13261D"/>
                <w:sz w:val="17"/>
                <w:szCs w:val="17"/>
              </w:rPr>
              <w:t xml:space="preserve">Fix before anything goes out</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Outreach list and briefing (P4).</w:t>
            </w:r>
            <w:r>
              <w:rPr>
                <w:rFonts w:ascii="Instrument Sans" w:cs="Instrument Sans" w:eastAsia="Instrument Sans" w:hAnsi="Instrument Sans"/>
                <w:color w:val="13261D"/>
                <w:sz w:val="16"/>
                <w:szCs w:val="16"/>
              </w:rPr>
              <w:t xml:space="preserve"> He never says “Sign up for Legal Cover now!”; he says “Sign up to Legal Cover. The link is in my bio.” And “promotes” should be “promoted ... in May 2025”: we found one video, and his bio now links to MIO.</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Plan SWOT (C13).</w:t>
            </w:r>
            <w:r>
              <w:rPr>
                <w:rFonts w:ascii="Instrument Sans" w:cs="Instrument Sans" w:eastAsia="Instrument Sans" w:hAnsi="Instrument Sans"/>
                <w:color w:val="13261D"/>
                <w:sz w:val="16"/>
                <w:szCs w:val="16"/>
              </w:rPr>
              <w:t xml:space="preserve"> “Consulates are not routinely told of arrests” widens a US-only statement. Say the US says UAE authorities don’t routinely tell it of US citizens’ arrests.</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Plan s8 note (C14).</w:t>
            </w:r>
            <w:r>
              <w:rPr>
                <w:rFonts w:ascii="Instrument Sans" w:cs="Instrument Sans" w:eastAsia="Instrument Sans" w:hAnsi="Instrument Sans"/>
                <w:color w:val="13261D"/>
                <w:sz w:val="16"/>
                <w:szCs w:val="16"/>
              </w:rPr>
              <w:t xml:space="preserve"> LegalShield’s “over 4.5 million” counts the whole company, identity-theft plans and Canada included. Reword or drop it.</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Plan s8, Who advises (L3).</w:t>
            </w:r>
            <w:r>
              <w:rPr>
                <w:rFonts w:ascii="Instrument Sans" w:cs="Instrument Sans" w:eastAsia="Instrument Sans" w:hAnsi="Instrument Sans"/>
                <w:color w:val="13261D"/>
                <w:sz w:val="16"/>
                <w:szCs w:val="16"/>
              </w:rPr>
              <w:t xml:space="preserve"> Licensed legal consultants may advise too (Art. 69), not only lawyers.</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Plan s8 table (C3).</w:t>
            </w:r>
            <w:r>
              <w:rPr>
                <w:rFonts w:ascii="Instrument Sans" w:cs="Instrument Sans" w:eastAsia="Instrument Sans" w:hAnsi="Instrument Sans"/>
                <w:color w:val="13261D"/>
                <w:sz w:val="16"/>
                <w:szCs w:val="16"/>
              </w:rPr>
              <w:t xml:space="preserve"> Legal Cover’s targets are 24-hour, eight-hour, priority or same-working-day, by plan.</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Plan s8 comment (L4).</w:t>
            </w:r>
            <w:r>
              <w:rPr>
                <w:rFonts w:ascii="Instrument Sans" w:cs="Instrument Sans" w:eastAsia="Instrument Sans" w:hAnsi="Instrument Sans"/>
                <w:color w:val="13261D"/>
                <w:sz w:val="16"/>
                <w:szCs w:val="16"/>
              </w:rPr>
              <w:t xml:space="preserve"> The Central Bank point is now checked: Art. 61(1)(h) read with (j). Drop “not yet checked at source”.</w:t>
            </w:r>
          </w:p>
          <w:p>
            <w:pPr>
              <w:pStyle w:val="ListParagraph"/>
              <w:keepLines/>
              <w:numPr>
                <w:ilvl w:val="0"/>
                <w:numId w:val="2"/>
              </w:numPr>
              <w:spacing w:after="40" w:before="0" w:line="235" w:lineRule="auto"/>
            </w:pPr>
            <w:r>
              <w:rPr>
                <w:rFonts w:ascii="Instrument Sans SemiBold" w:cs="Instrument Sans SemiBold" w:eastAsia="Instrument Sans SemiBold" w:hAnsi="Instrument Sans SemiBold"/>
                <w:color w:val="13261D"/>
                <w:sz w:val="16"/>
                <w:szCs w:val="16"/>
              </w:rPr>
              <w:t xml:space="preserve">Outreach list (P9, P11).</w:t>
            </w:r>
            <w:r>
              <w:rPr>
                <w:rFonts w:ascii="Instrument Sans" w:cs="Instrument Sans" w:eastAsia="Instrument Sans" w:hAnsi="Instrument Sans"/>
                <w:color w:val="13261D"/>
                <w:sz w:val="16"/>
                <w:szCs w:val="16"/>
              </w:rPr>
              <w:t xml:space="preserve"> The quoted Odeh video title was not re-found. The Lyra link to /crisis-resources/ is the wrong page.</w:t>
            </w:r>
          </w:p>
          <w:p>
            <w:pPr>
              <w:keepNext/>
              <w:spacing w:after="50" w:before="80" w:line="235" w:lineRule="auto"/>
            </w:pPr>
            <w:r>
              <w:rPr>
                <w:rFonts w:ascii="Instrument Sans SemiBold" w:cs="Instrument Sans SemiBold" w:eastAsia="Instrument Sans SemiBold" w:hAnsi="Instrument Sans SemiBold"/>
                <w:color w:val="13261D"/>
                <w:sz w:val="17"/>
                <w:szCs w:val="17"/>
              </w:rPr>
              <w:t xml:space="preserve">Weaker sources, worth knowing</w:t>
            </w:r>
          </w:p>
          <w:p>
            <w:pPr>
              <w:pStyle w:val="ListParagraph"/>
              <w:keepLines/>
              <w:numPr>
                <w:ilvl w:val="0"/>
                <w:numId w:val="2"/>
              </w:numPr>
              <w:spacing w:after="40" w:before="0" w:line="235" w:lineRule="auto"/>
            </w:pPr>
            <w:r>
              <w:rPr>
                <w:rFonts w:ascii="Instrument Sans" w:cs="Instrument Sans" w:eastAsia="Instrument Sans" w:hAnsi="Instrument Sans"/>
                <w:color w:val="13261D"/>
                <w:sz w:val="16"/>
                <w:szCs w:val="16"/>
              </w:rPr>
              <w:t xml:space="preserve">The “no product in the Gulf” line is a negative search result, thin in Arabic (C1).</w:t>
            </w:r>
          </w:p>
          <w:p>
            <w:pPr>
              <w:pStyle w:val="ListParagraph"/>
              <w:keepLines/>
              <w:numPr>
                <w:ilvl w:val="0"/>
                <w:numId w:val="2"/>
              </w:numPr>
              <w:spacing w:after="40" w:before="0" w:line="235" w:lineRule="auto"/>
            </w:pPr>
            <w:r>
              <w:rPr>
                <w:rFonts w:ascii="Instrument Sans" w:cs="Instrument Sans" w:eastAsia="Instrument Sans" w:hAnsi="Instrument Sans"/>
                <w:color w:val="13261D"/>
                <w:sz w:val="16"/>
                <w:szCs w:val="16"/>
              </w:rPr>
              <w:t xml:space="preserve">International SOS’s referral wording is from an old copy on a US university site (C11).</w:t>
            </w:r>
          </w:p>
          <w:p>
            <w:pPr>
              <w:pStyle w:val="ListParagraph"/>
              <w:keepLines/>
              <w:numPr>
                <w:ilvl w:val="0"/>
                <w:numId w:val="2"/>
              </w:numPr>
              <w:spacing w:after="40" w:before="0" w:line="235" w:lineRule="auto"/>
            </w:pPr>
            <w:r>
              <w:rPr>
                <w:rFonts w:ascii="Instrument Sans" w:cs="Instrument Sans" w:eastAsia="Instrument Sans" w:hAnsi="Instrument Sans"/>
                <w:color w:val="13261D"/>
                <w:sz w:val="16"/>
                <w:szCs w:val="16"/>
              </w:rPr>
              <w:t xml:space="preserve">“Amex 2022 terms”: the PDF is undated; 2022 comes from its file data (C9).</w:t>
            </w:r>
          </w:p>
          <w:p>
            <w:pPr>
              <w:keepNext/>
              <w:spacing w:after="50" w:before="80" w:line="235" w:lineRule="auto"/>
            </w:pPr>
            <w:r>
              <w:rPr>
                <w:rFonts w:ascii="Instrument Sans SemiBold" w:cs="Instrument Sans SemiBold" w:eastAsia="Instrument Sans SemiBold" w:hAnsi="Instrument Sans SemiBold"/>
                <w:color w:val="13261D"/>
                <w:sz w:val="17"/>
                <w:szCs w:val="17"/>
              </w:rPr>
              <w:t xml:space="preserve">Links</w:t>
            </w:r>
          </w:p>
          <w:p>
            <w:pPr>
              <w:pStyle w:val="ListParagraph"/>
              <w:keepLines/>
              <w:numPr>
                <w:ilvl w:val="0"/>
                <w:numId w:val="2"/>
              </w:numPr>
              <w:spacing w:after="0" w:before="0" w:line="235" w:lineRule="auto"/>
            </w:pPr>
            <w:r>
              <w:rPr>
                <w:rFonts w:ascii="Instrument Sans" w:cs="Instrument Sans" w:eastAsia="Instrument Sans" w:hAnsi="Instrument Sans"/>
                <w:color w:val="13261D"/>
                <w:sz w:val="16"/>
                <w:szCs w:val="16"/>
              </w:rPr>
              <w:t xml:space="preserve">No broken links. Four sites block automated requests with a 403: the US State Department, LegalShield, Clutch and the Central Bank’s web pages (its PDFs load). Wayback copies stand in where needed. MIO’s site serves automated requests a bot check but opens in a browser.</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1</w:t>
      </w:r>
      <w:r>
        <w:rPr>
          <w:rFonts w:ascii="Bricolage Grotesque SemiBold" w:cs="Bricolage Grotesque SemiBold" w:eastAsia="Bricolage Grotesque SemiBold" w:hAnsi="Bricolage Grotesque SemiBold"/>
          <w:color w:val="13261D"/>
          <w:sz w:val="28"/>
          <w:szCs w:val="28"/>
        </w:rPr>
        <w:t xml:space="preserve">   People and partners</w:t>
      </w:r>
    </w:p>
    <w:p>
      <w:pPr>
        <w:keepNext/>
        <w:spacing w:after="120" w:before="0" w:line="250" w:lineRule="auto"/>
      </w:pPr>
      <w:r>
        <w:rPr>
          <w:rFonts w:ascii="Instrument Sans" w:cs="Instrument Sans" w:eastAsia="Instrument Sans" w:hAnsi="Instrument Sans"/>
          <w:color w:val="4A5E53"/>
          <w:sz w:val="18"/>
          <w:szCs w:val="18"/>
        </w:rPr>
        <w:t xml:space="preserve">Ahmed Odeh, MIO &amp; Partners and Legal Cover, and Lyra Wellbeing. Wording rule: Legal Cover’s terms name MIO &amp; Partners as a partner firm, and Odeh promoted Legal Cover. Nothing found says MIO owns or backs Legal Cover, and our materials must not imply it.</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about 420K TikTok followers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Research report: “about 422K”.</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TikTok</w:t>
            </w:r>
            <w:r>
              <w:rPr>
                <w:rFonts w:ascii="Instrument Sans" w:cs="Instrument Sans" w:eastAsia="Instrument Sans" w:hAnsi="Instrument Sans"/>
                <w:color w:val="13261D"/>
                <w:sz w:val="16"/>
                <w:szCs w:val="16"/>
              </w:rPr>
              <w:t xml:space="preserve">, Ahmed Odeh (@lawbyodeh) profile</w:t>
            </w:r>
            <w:r>
              <w:rPr>
                <w:sz w:val="16"/>
                <w:szCs w:val="16"/>
              </w:rPr>
              <w:br/>
            </w:r>
            <w:hyperlink w:history="1" r:id="rId3re4rderg2wcq4zivifpd">
              <w:r>
                <w:rPr>
                  <w:rFonts w:ascii="Instrument Sans" w:cs="Instrument Sans" w:eastAsia="Instrument Sans" w:hAnsi="Instrument Sans"/>
                  <w:color w:val="0B7549"/>
                  <w:sz w:val="15"/>
                  <w:szCs w:val="15"/>
                  <w:u w:val="single"/>
                </w:rPr>
                <w:t xml:space="preserve">https://www.tiktok.com/@lawbyodeh</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Profile data: 422,327 followers on 2 Oct (422,285 on 1 Oct); 357 videos. Bio:</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Lawyer l Educator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Bio link:</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www.miopartners.ae</w:t>
            </w:r>
            <w:r>
              <w:rPr>
                <w:rFonts w:ascii="Instrument Sans" w:cs="Instrument Sans" w:eastAsia="Instrument Sans" w:hAnsi="Instrument Sans"/>
                <w:color w:val="13261D"/>
                <w:sz w:val="16"/>
                <w:szCs w:val="16"/>
              </w:rPr>
              <w:t xml:space="preserve">”</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(counts are in the page data)</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MIO &amp; Partners, where Ahmed Odeh is Managing Partner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Also “his firm, MIO &amp; Partners”; “Dubai lawyer who oversees MIO &amp; Partners”.</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s4, legal content creators (text and comment); s8 source note</w:t>
            </w:r>
            <w:r>
              <w:rPr>
                <w:sz w:val="16"/>
                <w:szCs w:val="16"/>
              </w:rPr>
              <w:br/>
            </w: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MIO &amp; Partners</w:t>
            </w:r>
            <w:r>
              <w:rPr>
                <w:rFonts w:ascii="Instrument Sans" w:cs="Instrument Sans" w:eastAsia="Instrument Sans" w:hAnsi="Instrument Sans"/>
                <w:color w:val="13261D"/>
                <w:sz w:val="16"/>
                <w:szCs w:val="16"/>
              </w:rPr>
              <w:t xml:space="preserve">, team page: Ahmed Odeh</w:t>
            </w:r>
            <w:r>
              <w:rPr>
                <w:sz w:val="16"/>
                <w:szCs w:val="16"/>
              </w:rPr>
              <w:br/>
            </w:r>
            <w:hyperlink w:history="1" r:id="rId_inva6kslswrmuvj-yyjz">
              <w:r>
                <w:rPr>
                  <w:rFonts w:ascii="Instrument Sans" w:cs="Instrument Sans" w:eastAsia="Instrument Sans" w:hAnsi="Instrument Sans"/>
                  <w:color w:val="0B7549"/>
                  <w:sz w:val="15"/>
                  <w:szCs w:val="15"/>
                  <w:u w:val="single"/>
                </w:rPr>
                <w:t xml:space="preserve">https://www.miopartners.ae/team/ahmed-odeh/</w:t>
              </w:r>
            </w:hyperlink>
            <w:r>
              <w:rPr>
                <w:sz w:val="16"/>
                <w:szCs w:val="16"/>
              </w:rPr>
              <w:br/>
            </w:r>
            <w:r>
              <w:rPr>
                <w:rFonts w:ascii="Instrument Sans" w:cs="Instrument Sans" w:eastAsia="Instrument Sans" w:hAnsi="Instrument Sans"/>
                <w:color w:val="13261D"/>
                <w:sz w:val="16"/>
                <w:szCs w:val="16"/>
              </w:rPr>
              <w:t xml:space="preserve">Wayback copy, 3 Jan 2026:</w:t>
            </w:r>
            <w:r>
              <w:rPr>
                <w:sz w:val="16"/>
                <w:szCs w:val="16"/>
              </w:rPr>
              <w:br/>
            </w:r>
            <w:hyperlink w:history="1" r:id="rIdkcrzjtmclvktgp5qipqha">
              <w:r>
                <w:rPr>
                  <w:rFonts w:ascii="Instrument Sans" w:cs="Instrument Sans" w:eastAsia="Instrument Sans" w:hAnsi="Instrument Sans"/>
                  <w:color w:val="0B7549"/>
                  <w:sz w:val="15"/>
                  <w:szCs w:val="15"/>
                  <w:u w:val="single"/>
                </w:rPr>
                <w:t xml:space="preserve">https://web.archive.org/web/20260103084806/https://www.miopartners.ae/team/ahmed-odeh/</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Ahmed Odeh MANAGING PARTNER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As owner and Chief Executive Officer, much of Ahmed's work involves engaging with his team to ensure results are being delivered to the clients.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Footer:</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Abu Baker Salem Advocates and Legal Consultants LLC</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Read live through a headless browser, and in the Wayback copy.</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but automated requests get a bot-check page (“One moment, please...”); opens in a browser</w:t>
            </w:r>
            <w:r>
              <w:rPr>
                <w:sz w:val="16"/>
                <w:szCs w:val="16"/>
              </w:rPr>
              <w:br/>
            </w:r>
            <w:r>
              <w:rPr>
                <w:rFonts w:ascii="Instrument Sans" w:cs="Instrument Sans" w:eastAsia="Instrument Sans" w:hAnsi="Instrument Sans"/>
                <w:color w:val="13261D"/>
                <w:sz w:val="16"/>
                <w:szCs w:val="16"/>
              </w:rPr>
              <w:t xml:space="preserve">200 (Wayback)</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he promoted Legal Cover in 2025</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“He promoted Legal Cover on TikTok in May 2025.” Outreach: “His Legal Cover promo on TikTok dates from 22 May 2025.”</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s4, legal content creators (text and comment)</w:t>
            </w:r>
            <w:r>
              <w:rPr>
                <w:sz w:val="16"/>
                <w:szCs w:val="16"/>
              </w:rPr>
              <w:br/>
            </w: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TikTok</w:t>
            </w:r>
            <w:r>
              <w:rPr>
                <w:rFonts w:ascii="Instrument Sans" w:cs="Instrument Sans" w:eastAsia="Instrument Sans" w:hAnsi="Instrument Sans"/>
                <w:color w:val="13261D"/>
                <w:sz w:val="16"/>
                <w:szCs w:val="16"/>
              </w:rPr>
              <w:t xml:space="preserve">, video by @lawbyodeh</w:t>
            </w:r>
            <w:r>
              <w:rPr>
                <w:sz w:val="16"/>
                <w:szCs w:val="16"/>
              </w:rPr>
              <w:br/>
            </w:r>
            <w:hyperlink w:history="1" r:id="rIdoefuobpolfxmfuhgz7rzq">
              <w:r>
                <w:rPr>
                  <w:rFonts w:ascii="Instrument Sans" w:cs="Instrument Sans" w:eastAsia="Instrument Sans" w:hAnsi="Instrument Sans"/>
                  <w:color w:val="0B7549"/>
                  <w:sz w:val="15"/>
                  <w:szCs w:val="15"/>
                  <w:u w:val="single"/>
                </w:rPr>
                <w:t xml:space="preserve">https://www.tiktok.com/@lawbyodeh/video/7507308994151648530</w:t>
              </w:r>
            </w:hyperlink>
            <w:r>
              <w:rPr>
                <w:sz w:val="16"/>
                <w:szCs w:val="16"/>
              </w:rPr>
              <w:br/>
            </w:r>
            <w:r>
              <w:rPr>
                <w:rFonts w:ascii="Instrument Sans" w:cs="Instrument Sans" w:eastAsia="Instrument Sans" w:hAnsi="Instrument Sans"/>
                <w:color w:val="13261D"/>
                <w:sz w:val="16"/>
                <w:szCs w:val="16"/>
              </w:rPr>
              <w:t xml:space="preserve">TikTok oEmbed record (author and caption):</w:t>
            </w:r>
            <w:r>
              <w:rPr>
                <w:sz w:val="16"/>
                <w:szCs w:val="16"/>
              </w:rPr>
              <w:br/>
            </w:r>
            <w:hyperlink w:history="1" r:id="rIdmuudzxnc_g84vh8pgmsog">
              <w:r>
                <w:rPr>
                  <w:rFonts w:ascii="Instrument Sans" w:cs="Instrument Sans" w:eastAsia="Instrument Sans" w:hAnsi="Instrument Sans"/>
                  <w:color w:val="0B7549"/>
                  <w:sz w:val="15"/>
                  <w:szCs w:val="15"/>
                  <w:u w:val="single"/>
                </w:rPr>
                <w:t xml:space="preserve">https://www.tiktok.com/oembed?url=https://www.tiktok.com/@lawbyodeh/video/7507308994151648530</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Author:</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Ahmed Odeh</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handle lawbyodeh. Posted 22 May 2025, 16:33 UTC (page data; the video ID decodes to the same time). 24,500 plays. Caption: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Cover makes expert legal support affordable, fast, and easy to access. Visit legalcover.ae to claim a free consultation now.</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Auto-captions: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So what are you waiting for? Sign up to Legal Cover. The link is in my bio.</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This is the 2025 promotion. It was the only Legal Cover video found; his 357 videos were not all checked.</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 (JSON)</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promotes Legal Cover (legalcover.ae) on TikTok ("Sign up for Legal Cover now!")</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“He promotes Legal Cover”.</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 Watch out</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TikTok</w:t>
            </w:r>
            <w:r>
              <w:rPr>
                <w:rFonts w:ascii="Instrument Sans" w:cs="Instrument Sans" w:eastAsia="Instrument Sans" w:hAnsi="Instrument Sans"/>
                <w:color w:val="13261D"/>
                <w:sz w:val="16"/>
                <w:szCs w:val="16"/>
              </w:rPr>
              <w:t xml:space="preserve">, video by @lawbyodeh (as P3)</w:t>
            </w:r>
            <w:r>
              <w:rPr>
                <w:sz w:val="16"/>
                <w:szCs w:val="16"/>
              </w:rPr>
              <w:br/>
            </w:r>
            <w:hyperlink w:history="1" r:id="rIdrx7i_iiaow7jgovhxlm65">
              <w:r>
                <w:rPr>
                  <w:rFonts w:ascii="Instrument Sans" w:cs="Instrument Sans" w:eastAsia="Instrument Sans" w:hAnsi="Instrument Sans"/>
                  <w:color w:val="0B7549"/>
                  <w:sz w:val="15"/>
                  <w:szCs w:val="15"/>
                  <w:u w:val="single"/>
                </w:rPr>
                <w:t xml:space="preserve">https://www.tiktok.com/@lawbyodeh/video/7507308994151648530</w:t>
              </w:r>
            </w:hyperlink>
            <w:r>
              <w:rPr>
                <w:sz w:val="16"/>
                <w:szCs w:val="16"/>
              </w:rPr>
              <w:br/>
            </w:r>
            <w:r>
              <w:rPr>
                <w:rFonts w:ascii="Instrument Sans SemiBold" w:cs="Instrument Sans SemiBold" w:eastAsia="Instrument Sans SemiBold" w:hAnsi="Instrument Sans SemiBold"/>
                <w:color w:val="13261D"/>
                <w:sz w:val="16"/>
                <w:szCs w:val="16"/>
              </w:rPr>
              <w:t xml:space="preserve">TikTok</w:t>
            </w:r>
            <w:r>
              <w:rPr>
                <w:sz w:val="16"/>
                <w:szCs w:val="16"/>
              </w:rPr>
              <w:br/>
            </w:r>
            <w:hyperlink w:history="1" r:id="rIdvrdyk3i5rxircuddqveeb">
              <w:r>
                <w:rPr>
                  <w:rFonts w:ascii="Instrument Sans" w:cs="Instrument Sans" w:eastAsia="Instrument Sans" w:hAnsi="Instrument Sans"/>
                  <w:color w:val="0B7549"/>
                  <w:sz w:val="15"/>
                  <w:szCs w:val="15"/>
                  <w:u w:val="single"/>
                </w:rPr>
                <w:t xml:space="preserve">https://www.tiktok.com/@lawbyodeh</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He says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Sign up to Legal Cover. The link is in my bio.</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The words “Sign up for Legal Cover now!” appear in no caption or transcript. His bio links to</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www.miopartners.ae</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not Legal Cover.</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Use his actual words, and the past tense: “promoted Legal Cover on TikTok in May 2025”.</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Not 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P5</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Cover's terms name his firm, MIO &amp; Partners, as a partner firm</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its legal work is provided through partners “including MIO &amp; Partners” (terms updated 24 August 2026).</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s4 (text and comment); s8 source note</w:t>
            </w:r>
            <w:r>
              <w:rPr>
                <w:sz w:val="16"/>
                <w:szCs w:val="16"/>
              </w:rPr>
              <w:br/>
            </w: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 and Launch outreach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Terms &amp; Conditions</w:t>
            </w:r>
            <w:r>
              <w:rPr>
                <w:sz w:val="16"/>
                <w:szCs w:val="16"/>
              </w:rPr>
              <w:br/>
            </w:r>
            <w:hyperlink w:history="1" r:id="rIdtyvlkxpfgc8vcvf_xncb4">
              <w:r>
                <w:rPr>
                  <w:rFonts w:ascii="Instrument Sans" w:cs="Instrument Sans" w:eastAsia="Instrument Sans" w:hAnsi="Instrument Sans"/>
                  <w:color w:val="0B7549"/>
                  <w:sz w:val="15"/>
                  <w:szCs w:val="15"/>
                  <w:u w:val="single"/>
                </w:rPr>
                <w:t xml:space="preserve">https://legalcover.ae/terms-and-conditions/</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services and legal work are provided through Legal Cover's network of legal partners, including MIO &amp; Partners and other qualified legal professionals and firms, as applicable ("Partner Firms").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Last updated: 24/08/2026.</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Operator:</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 trading name of ALRABT ALDHKY MARKETING SERVICES VIA SOCIAL MEDIA CO. L.L.C</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terms say partner firm, nothing more. Nothing found says MIO owns or backs Legal Cover.</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P6</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Cover's LinkedIn gives its address as Office 704, Crystal Tower, Business Bay, one of MIO's two Dubai office units.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“Legal Cover gives one of MIO’s Business Bay office units as its address”.</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LinkedIn</w:t>
            </w:r>
            <w:r>
              <w:rPr>
                <w:rFonts w:ascii="Instrument Sans" w:cs="Instrument Sans" w:eastAsia="Instrument Sans" w:hAnsi="Instrument Sans"/>
                <w:color w:val="13261D"/>
                <w:sz w:val="16"/>
                <w:szCs w:val="16"/>
              </w:rPr>
              <w:t xml:space="preserve">, company page: Legal Cover UAE</w:t>
            </w:r>
            <w:r>
              <w:rPr>
                <w:sz w:val="16"/>
                <w:szCs w:val="16"/>
              </w:rPr>
              <w:br/>
            </w:r>
            <w:hyperlink w:history="1" r:id="rIdqdv06sereopcn9as7xu7e">
              <w:r>
                <w:rPr>
                  <w:rFonts w:ascii="Instrument Sans" w:cs="Instrument Sans" w:eastAsia="Instrument Sans" w:hAnsi="Instrument Sans"/>
                  <w:color w:val="0B7549"/>
                  <w:sz w:val="15"/>
                  <w:szCs w:val="15"/>
                  <w:u w:val="single"/>
                </w:rPr>
                <w:t xml:space="preserve">https://www.linkedin.com/company/legal-cover-uae</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Locations, primary:</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Crystal tower, M Hotel Downtown, Business Bay Office No. 704 Dubai, Dubai, AE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Founded 2024</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290 followers.</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(public page; a browser may ask you to sign in)</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P7</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MIO’s office units: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offices in Business Bay, Dubai and in Abu Dhabi</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Office 704 is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one of MIO's two Dubai office units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MIO &amp; Partners</w:t>
            </w:r>
            <w:r>
              <w:rPr>
                <w:rFonts w:ascii="Instrument Sans" w:cs="Instrument Sans" w:eastAsia="Instrument Sans" w:hAnsi="Instrument Sans"/>
                <w:color w:val="13261D"/>
                <w:sz w:val="16"/>
                <w:szCs w:val="16"/>
              </w:rPr>
              <w:t xml:space="preserve">, home page and criminal practice page</w:t>
            </w:r>
            <w:r>
              <w:rPr>
                <w:sz w:val="16"/>
                <w:szCs w:val="16"/>
              </w:rPr>
              <w:br/>
            </w:r>
            <w:hyperlink w:history="1" r:id="rIdrimbtbrem1i45sjvppkxm">
              <w:r>
                <w:rPr>
                  <w:rFonts w:ascii="Instrument Sans" w:cs="Instrument Sans" w:eastAsia="Instrument Sans" w:hAnsi="Instrument Sans"/>
                  <w:color w:val="0B7549"/>
                  <w:sz w:val="15"/>
                  <w:szCs w:val="15"/>
                  <w:u w:val="single"/>
                </w:rPr>
                <w:t xml:space="preserve">https://www.miopartners.ae/</w:t>
              </w:r>
            </w:hyperlink>
            <w:r>
              <w:rPr>
                <w:sz w:val="16"/>
                <w:szCs w:val="16"/>
              </w:rPr>
              <w:br/>
            </w:r>
            <w:r>
              <w:rPr>
                <w:rFonts w:ascii="Instrument Sans" w:cs="Instrument Sans" w:eastAsia="Instrument Sans" w:hAnsi="Instrument Sans"/>
                <w:color w:val="13261D"/>
                <w:sz w:val="16"/>
                <w:szCs w:val="16"/>
              </w:rPr>
              <w:t xml:space="preserve">Wayback copy, 3 Jan 2026:</w:t>
            </w:r>
            <w:r>
              <w:rPr>
                <w:sz w:val="16"/>
                <w:szCs w:val="16"/>
              </w:rPr>
              <w:br/>
            </w:r>
            <w:hyperlink w:history="1" r:id="rIdpns5wdca-grmlkiuho2fq">
              <w:r>
                <w:rPr>
                  <w:rFonts w:ascii="Instrument Sans" w:cs="Instrument Sans" w:eastAsia="Instrument Sans" w:hAnsi="Instrument Sans"/>
                  <w:color w:val="0B7549"/>
                  <w:sz w:val="15"/>
                  <w:szCs w:val="15"/>
                  <w:u w:val="single"/>
                </w:rPr>
                <w:t xml:space="preserve">https://web.archive.org/web/20260103085105/https://www.miopartners.ae/</w:t>
              </w:r>
            </w:hyperlink>
            <w:r>
              <w:rPr>
                <w:sz w:val="16"/>
                <w:szCs w:val="16"/>
              </w:rPr>
              <w:br/>
            </w:r>
            <w:r>
              <w:rPr>
                <w:rFonts w:ascii="Instrument Sans SemiBold" w:cs="Instrument Sans SemiBold" w:eastAsia="Instrument Sans SemiBold" w:hAnsi="Instrument Sans SemiBold"/>
                <w:color w:val="13261D"/>
                <w:sz w:val="16"/>
                <w:szCs w:val="16"/>
              </w:rPr>
              <w:t xml:space="preserve">LinkedIn</w:t>
            </w:r>
            <w:r>
              <w:rPr>
                <w:rFonts w:ascii="Instrument Sans" w:cs="Instrument Sans" w:eastAsia="Instrument Sans" w:hAnsi="Instrument Sans"/>
                <w:color w:val="13261D"/>
                <w:sz w:val="16"/>
                <w:szCs w:val="16"/>
              </w:rPr>
              <w:t xml:space="preserve">, company page: MIO &amp; Partners</w:t>
            </w:r>
            <w:r>
              <w:rPr>
                <w:sz w:val="16"/>
                <w:szCs w:val="16"/>
              </w:rPr>
              <w:br/>
            </w:r>
            <w:hyperlink w:history="1" r:id="rIdapwinxrstvm64bcyilgj5">
              <w:r>
                <w:rPr>
                  <w:rFonts w:ascii="Instrument Sans" w:cs="Instrument Sans" w:eastAsia="Instrument Sans" w:hAnsi="Instrument Sans"/>
                  <w:color w:val="0B7549"/>
                  <w:sz w:val="15"/>
                  <w:szCs w:val="15"/>
                  <w:u w:val="single"/>
                </w:rPr>
                <w:t xml:space="preserve">https://www.linkedin.com/company/mio-and-partners</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Live site: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Dubai Office Office No. 603 &amp; 704, Crystal Tower, Business Bay, Dubai, UAE.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Wayback:</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Office No. 603 and 704, Crystal Tower, Business Bay, Dubai</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LinkedIn: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Crystal Tower, M Hotel Downtown, Business Bay Office No. 603</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Abu Dhabi: Al Fardan Tower (LinkedIn), Darwish Bin Ahmed &amp; Sons Building (site).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live site was read through a headless browser.</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but automated requests get a bot-check page (“One moment, please...”); opens in a browser</w:t>
            </w:r>
            <w:r>
              <w:rPr>
                <w:sz w:val="16"/>
                <w:szCs w:val="16"/>
              </w:rPr>
              <w:br/>
            </w:r>
            <w:r>
              <w:rPr>
                <w:rFonts w:ascii="Instrument Sans" w:cs="Instrument Sans" w:eastAsia="Instrument Sans" w:hAnsi="Instrument Sans"/>
                <w:color w:val="13261D"/>
                <w:sz w:val="16"/>
                <w:szCs w:val="16"/>
              </w:rPr>
              <w:t xml:space="preserve">200 (Wayback)</w:t>
            </w:r>
            <w:r>
              <w:rPr>
                <w:sz w:val="16"/>
                <w:szCs w:val="16"/>
              </w:rPr>
              <w:br/>
            </w:r>
            <w:r>
              <w:rPr>
                <w:rFonts w:ascii="Instrument Sans" w:cs="Instrument Sans" w:eastAsia="Instrument Sans" w:hAnsi="Instrument Sans"/>
                <w:color w:val="13261D"/>
                <w:sz w:val="16"/>
                <w:szCs w:val="16"/>
              </w:rPr>
              <w:t xml:space="preserve">200 (public page; a browser may ask you to sign in)</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P8</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MIO already does police-station work, so an arrest add-on could come quickly (the scan's inference).</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MIO &amp; Partners</w:t>
            </w:r>
            <w:r>
              <w:rPr>
                <w:rFonts w:ascii="Instrument Sans" w:cs="Instrument Sans" w:eastAsia="Instrument Sans" w:hAnsi="Instrument Sans"/>
                <w:color w:val="13261D"/>
                <w:sz w:val="16"/>
                <w:szCs w:val="16"/>
              </w:rPr>
              <w:t xml:space="preserve">, criminal practice page</w:t>
            </w:r>
            <w:r>
              <w:rPr>
                <w:sz w:val="16"/>
                <w:szCs w:val="16"/>
              </w:rPr>
              <w:br/>
            </w:r>
            <w:hyperlink w:history="1" r:id="rIdxivwxxa56rkumisecsv8t">
              <w:r>
                <w:rPr>
                  <w:rFonts w:ascii="Instrument Sans" w:cs="Instrument Sans" w:eastAsia="Instrument Sans" w:hAnsi="Instrument Sans"/>
                  <w:color w:val="0B7549"/>
                  <w:sz w:val="15"/>
                  <w:szCs w:val="15"/>
                  <w:u w:val="single"/>
                </w:rPr>
                <w:t xml:space="preserve">https://www.miopartners.ae/expertise/criminal/</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Representation before police authorities, prosecutors, and courts</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practice is confirmed; the add-on is our inference, labelled as such.</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but automated requests get a bot-check page (“One moment, please...”); opens in a browser</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P9</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Posts short UAE-law explainers ("Can you get a lawyer for free in the UAE?"). Also on YouTube as @lawbyodeh.</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TikTok</w:t>
            </w:r>
            <w:r>
              <w:rPr>
                <w:sz w:val="16"/>
                <w:szCs w:val="16"/>
              </w:rPr>
              <w:br/>
            </w:r>
            <w:hyperlink w:history="1" r:id="rIdhqmaw9felfepk1y0tv9qr">
              <w:r>
                <w:rPr>
                  <w:rFonts w:ascii="Instrument Sans" w:cs="Instrument Sans" w:eastAsia="Instrument Sans" w:hAnsi="Instrument Sans"/>
                  <w:color w:val="0B7549"/>
                  <w:sz w:val="15"/>
                  <w:szCs w:val="15"/>
                  <w:u w:val="single"/>
                </w:rPr>
                <w:t xml:space="preserve">https://www.tiktok.com/@lawbyodeh</w:t>
              </w:r>
            </w:hyperlink>
            <w:r>
              <w:rPr>
                <w:sz w:val="16"/>
                <w:szCs w:val="16"/>
              </w:rPr>
              <w:br/>
            </w:r>
            <w:r>
              <w:rPr>
                <w:rFonts w:ascii="Instrument Sans SemiBold" w:cs="Instrument Sans SemiBold" w:eastAsia="Instrument Sans SemiBold" w:hAnsi="Instrument Sans SemiBold"/>
                <w:color w:val="13261D"/>
                <w:sz w:val="16"/>
                <w:szCs w:val="16"/>
              </w:rPr>
              <w:t xml:space="preserve">YouTube</w:t>
            </w:r>
            <w:r>
              <w:rPr>
                <w:sz w:val="16"/>
                <w:szCs w:val="16"/>
              </w:rPr>
              <w:br/>
            </w:r>
            <w:hyperlink w:history="1" r:id="rIdyfdnb5j5v6xlzhuvmqgzu">
              <w:r>
                <w:rPr>
                  <w:rFonts w:ascii="Instrument Sans" w:cs="Instrument Sans" w:eastAsia="Instrument Sans" w:hAnsi="Instrument Sans"/>
                  <w:color w:val="0B7549"/>
                  <w:sz w:val="15"/>
                  <w:szCs w:val="15"/>
                  <w:u w:val="single"/>
                </w:rPr>
                <w:t xml:space="preserve">https://www.youtube.com/@lawbyodeh/about</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Bio:</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Lawyer l Educator</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357 videos. The YouTube channel exists (239 subscribers on 1 Oct).</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The quoted video title came from a search listing on 30 Sep. No URL was kept, and it was not re-found.</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 (redirects to a consent page)</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P10</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Lyra Wellbeing (Lyra Health MENA, formerly ICAS MENA)</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an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employee assistance programme (EAP) provider with its regional office in Dubai</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Plan: “First target: Lyra Health MENA.”</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s4, partner channels</w:t>
            </w:r>
            <w:r>
              <w:rPr>
                <w:sz w:val="16"/>
                <w:szCs w:val="16"/>
              </w:rPr>
              <w:br/>
            </w: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Lyra Wellbeing</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Lyra Wellbeing</w:t>
            </w:r>
            <w:r>
              <w:rPr>
                <w:rFonts w:ascii="Instrument Sans" w:cs="Instrument Sans" w:eastAsia="Instrument Sans" w:hAnsi="Instrument Sans"/>
                <w:color w:val="13261D"/>
                <w:sz w:val="16"/>
                <w:szCs w:val="16"/>
              </w:rPr>
              <w:t xml:space="preserve">, home page (“Lyra Health MENA”)</w:t>
            </w:r>
            <w:r>
              <w:rPr>
                <w:sz w:val="16"/>
                <w:szCs w:val="16"/>
              </w:rPr>
              <w:br/>
            </w:r>
            <w:hyperlink w:history="1" r:id="rIdcr050bx5gqqdu8i9siq0h">
              <w:r>
                <w:rPr>
                  <w:rFonts w:ascii="Instrument Sans" w:cs="Instrument Sans" w:eastAsia="Instrument Sans" w:hAnsi="Instrument Sans"/>
                  <w:color w:val="0B7549"/>
                  <w:sz w:val="15"/>
                  <w:szCs w:val="15"/>
                  <w:u w:val="single"/>
                </w:rPr>
                <w:t xml:space="preserve">https://lyrawellbeing.ae/</w:t>
              </w:r>
            </w:hyperlink>
            <w:r>
              <w:rPr>
                <w:sz w:val="16"/>
                <w:szCs w:val="16"/>
              </w:rPr>
              <w:br/>
            </w:r>
            <w:r>
              <w:rPr>
                <w:rFonts w:ascii="Instrument Sans SemiBold" w:cs="Instrument Sans SemiBold" w:eastAsia="Instrument Sans SemiBold" w:hAnsi="Instrument Sans SemiBold"/>
                <w:color w:val="13261D"/>
                <w:sz w:val="16"/>
                <w:szCs w:val="16"/>
              </w:rPr>
              <w:t xml:space="preserve">Lyra Wellbeing</w:t>
            </w:r>
            <w:r>
              <w:rPr>
                <w:sz w:val="16"/>
                <w:szCs w:val="16"/>
              </w:rPr>
              <w:br/>
            </w:r>
            <w:hyperlink w:history="1" r:id="rIdob6okieih1c3net1flkzx">
              <w:r>
                <w:rPr>
                  <w:rFonts w:ascii="Instrument Sans" w:cs="Instrument Sans" w:eastAsia="Instrument Sans" w:hAnsi="Instrument Sans"/>
                  <w:color w:val="0B7549"/>
                  <w:sz w:val="15"/>
                  <w:szCs w:val="15"/>
                  <w:u w:val="single"/>
                </w:rPr>
                <w:t xml:space="preserve">https://lyrawellbeing.ae/faqs/</w:t>
              </w:r>
            </w:hyperlink>
            <w:r>
              <w:rPr>
                <w:sz w:val="16"/>
                <w:szCs w:val="16"/>
              </w:rPr>
              <w:br/>
            </w:r>
            <w:r>
              <w:rPr>
                <w:rFonts w:ascii="Instrument Sans SemiBold" w:cs="Instrument Sans SemiBold" w:eastAsia="Instrument Sans SemiBold" w:hAnsi="Instrument Sans SemiBold"/>
                <w:color w:val="13261D"/>
                <w:sz w:val="16"/>
                <w:szCs w:val="16"/>
              </w:rPr>
              <w:t xml:space="preserve">PR Newswire</w:t>
            </w:r>
            <w:r>
              <w:rPr>
                <w:rFonts w:ascii="Instrument Sans" w:cs="Instrument Sans" w:eastAsia="Instrument Sans" w:hAnsi="Instrument Sans"/>
                <w:color w:val="13261D"/>
                <w:sz w:val="16"/>
                <w:szCs w:val="16"/>
              </w:rPr>
              <w:t xml:space="preserve">, Lyra Health acquires ICAS World, 19 Jan 2022</w:t>
            </w:r>
            <w:r>
              <w:rPr>
                <w:sz w:val="16"/>
                <w:szCs w:val="16"/>
              </w:rPr>
              <w:br/>
            </w:r>
            <w:hyperlink w:history="1" r:id="rIdsmdmseplwh-f-d0fuixq-">
              <w:r>
                <w:rPr>
                  <w:rFonts w:ascii="Instrument Sans" w:cs="Instrument Sans" w:eastAsia="Instrument Sans" w:hAnsi="Instrument Sans"/>
                  <w:color w:val="0B7549"/>
                  <w:sz w:val="15"/>
                  <w:szCs w:val="15"/>
                  <w:u w:val="single"/>
                </w:rPr>
                <w:t xml:space="preserve">https://www.prnewswire.com/news-releases/lyra-health-acquires-icas-world-to-expand-its-mental-health-care-services-globally-301463635.html</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Our regional office is located in Dubai, UAE.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ICAS (the former name for the Lyra Wellbeing EAP) was established in 1987 and our MENA operations were set up in 2010.</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Lyra Health ... today announced it has acquired ICAS World, a global employee assistance program provider</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site calls ICAS the EAP’s former name; it does not use “ICAS MENA”.</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P11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Offers 24/7 critical-incident management for employers, with counselling in Arabic, English, Hindi, Urdu and French.</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“24/7 crisis support for employers”.</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Lyra Wellbeing</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Launch outreach</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Lyra Wellbeing</w:t>
            </w:r>
            <w:r>
              <w:rPr>
                <w:rFonts w:ascii="Instrument Sans" w:cs="Instrument Sans" w:eastAsia="Instrument Sans" w:hAnsi="Instrument Sans"/>
                <w:color w:val="13261D"/>
                <w:sz w:val="16"/>
                <w:szCs w:val="16"/>
              </w:rPr>
              <w:t xml:space="preserve">, Our services</w:t>
            </w:r>
            <w:r>
              <w:rPr>
                <w:sz w:val="16"/>
                <w:szCs w:val="16"/>
              </w:rPr>
              <w:br/>
            </w:r>
            <w:hyperlink w:history="1" r:id="rIdnmnm-545f6u8idmxpjsna">
              <w:r>
                <w:rPr>
                  <w:rFonts w:ascii="Instrument Sans" w:cs="Instrument Sans" w:eastAsia="Instrument Sans" w:hAnsi="Instrument Sans"/>
                  <w:color w:val="0B7549"/>
                  <w:sz w:val="15"/>
                  <w:szCs w:val="15"/>
                  <w:u w:val="single"/>
                </w:rPr>
                <w:t xml:space="preserve">https://lyrawellbeing.ae/our-services/</w:t>
              </w:r>
            </w:hyperlink>
            <w:r>
              <w:rPr>
                <w:sz w:val="16"/>
                <w:szCs w:val="16"/>
              </w:rPr>
              <w:br/>
            </w:r>
            <w:r>
              <w:rPr>
                <w:rFonts w:ascii="Instrument Sans SemiBold" w:cs="Instrument Sans SemiBold" w:eastAsia="Instrument Sans SemiBold" w:hAnsi="Instrument Sans SemiBold"/>
                <w:color w:val="13261D"/>
                <w:sz w:val="16"/>
                <w:szCs w:val="16"/>
              </w:rPr>
              <w:t xml:space="preserve">Lyra Wellbeing</w:t>
            </w:r>
            <w:r>
              <w:rPr>
                <w:rFonts w:ascii="Instrument Sans" w:cs="Instrument Sans" w:eastAsia="Instrument Sans" w:hAnsi="Instrument Sans"/>
                <w:color w:val="13261D"/>
                <w:sz w:val="16"/>
                <w:szCs w:val="16"/>
              </w:rPr>
              <w:t xml:space="preserve">, Crisis management</w:t>
            </w:r>
            <w:r>
              <w:rPr>
                <w:sz w:val="16"/>
                <w:szCs w:val="16"/>
              </w:rPr>
              <w:br/>
            </w:r>
            <w:hyperlink w:history="1" r:id="rId8toyim5s1r3ptwsdmqcx8">
              <w:r>
                <w:rPr>
                  <w:rFonts w:ascii="Instrument Sans" w:cs="Instrument Sans" w:eastAsia="Instrument Sans" w:hAnsi="Instrument Sans"/>
                  <w:color w:val="0B7549"/>
                  <w:sz w:val="15"/>
                  <w:szCs w:val="15"/>
                  <w:u w:val="single"/>
                </w:rPr>
                <w:t xml:space="preserve">https://lyrawellbeing.ae/our-services-crisis-management/</w:t>
              </w:r>
            </w:hyperlink>
            <w:r>
              <w:rPr>
                <w:sz w:val="16"/>
                <w:szCs w:val="16"/>
              </w:rPr>
              <w:br/>
            </w:r>
            <w:r>
              <w:rPr>
                <w:rFonts w:ascii="Instrument Sans SemiBold" w:cs="Instrument Sans SemiBold" w:eastAsia="Instrument Sans SemiBold" w:hAnsi="Instrument Sans SemiBold"/>
                <w:color w:val="13261D"/>
                <w:sz w:val="16"/>
                <w:szCs w:val="16"/>
              </w:rPr>
              <w:t xml:space="preserve">Lyra Wellbeing</w:t>
            </w:r>
            <w:r>
              <w:rPr>
                <w:rFonts w:ascii="Instrument Sans" w:cs="Instrument Sans" w:eastAsia="Instrument Sans" w:hAnsi="Instrument Sans"/>
                <w:color w:val="13261D"/>
                <w:sz w:val="16"/>
                <w:szCs w:val="16"/>
              </w:rPr>
              <w:t xml:space="preserve">, Crisis resources (linked from the outreach list)</w:t>
            </w:r>
            <w:r>
              <w:rPr>
                <w:sz w:val="16"/>
                <w:szCs w:val="16"/>
              </w:rPr>
              <w:br/>
            </w:r>
            <w:hyperlink w:history="1" r:id="rIdm0ptjc5-3dlfkbczxc3wd">
              <w:r>
                <w:rPr>
                  <w:rFonts w:ascii="Instrument Sans" w:cs="Instrument Sans" w:eastAsia="Instrument Sans" w:hAnsi="Instrument Sans"/>
                  <w:color w:val="0B7549"/>
                  <w:sz w:val="15"/>
                  <w:szCs w:val="15"/>
                  <w:u w:val="single"/>
                </w:rPr>
                <w:t xml:space="preserve">https://lyrawellbeing.ae/crisis-resources/</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Telephonic counselling available in Arabic, English, Hindi, Urdu and French.</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Your employees have 24 hour access to a team of clinical experts, seven days a week.</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Critical Incident Stress De-Briefing (CISD)</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“24/7 critical-incident management” is our paraphrase. The outreach list links /crisis-resources/, a page on coping with conflict; the claim is on the crisis management page.</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2</w:t>
      </w:r>
      <w:r>
        <w:rPr>
          <w:rFonts w:ascii="Bricolage Grotesque SemiBold" w:cs="Bricolage Grotesque SemiBold" w:eastAsia="Bricolage Grotesque SemiBold" w:hAnsi="Bricolage Grotesque SemiBold"/>
          <w:color w:val="13261D"/>
          <w:sz w:val="28"/>
          <w:szCs w:val="28"/>
        </w:rPr>
        <w:t xml:space="preserve">   Competitors</w:t>
      </w:r>
    </w:p>
    <w:p>
      <w:pPr>
        <w:keepNext/>
        <w:spacing w:after="120" w:before="0" w:line="250" w:lineRule="auto"/>
      </w:pPr>
      <w:r>
        <w:rPr>
          <w:rFonts w:ascii="Instrument Sans" w:cs="Instrument Sans" w:eastAsia="Instrument Sans" w:hAnsi="Instrument Sans"/>
          <w:color w:val="4A5E53"/>
          <w:sz w:val="18"/>
          <w:szCs w:val="18"/>
        </w:rPr>
        <w:t xml:space="preserve">Each row of the plan’s competitor table (section 8) and the briefing page’s competitor scan.</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Our scan found no product in the UAE or the Gulf where one button sends for a lawyer, the consulate and family. Today people pay a firm per case.</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introduction</w:t>
            </w:r>
            <w:r>
              <w:rPr>
                <w:sz w:val="16"/>
                <w:szCs w:val="16"/>
              </w:rPr>
              <w:br/>
            </w:r>
            <w:r>
              <w:rPr>
                <w:rFonts w:ascii="Instrument Sans SemiBold" w:cs="Instrument Sans SemiBold" w:eastAsia="Instrument Sans SemiBold" w:hAnsi="Instrument Sans SemiBold"/>
                <w:color w:val="13261D"/>
                <w:sz w:val="16"/>
                <w:szCs w:val="16"/>
              </w:rPr>
              <w:t xml:space="preserve">Teaser</w:t>
            </w:r>
            <w:r>
              <w:rPr>
                <w:rFonts w:ascii="Instrument Sans" w:cs="Instrument Sans" w:eastAsia="Instrument Sans" w:hAnsi="Instrument Sans"/>
                <w:color w:val="13261D"/>
                <w:sz w:val="16"/>
                <w:szCs w:val="16"/>
              </w:rPr>
              <w:t xml:space="preserve">, side panel</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ELA competitor scan, 1 Oct 2026</w:t>
            </w:r>
            <w:r>
              <w:rPr>
                <w:rFonts w:ascii="Instrument Sans" w:cs="Instrument Sans" w:eastAsia="Instrument Sans" w:hAnsi="Instrument Sans"/>
                <w:color w:val="13261D"/>
                <w:sz w:val="16"/>
                <w:szCs w:val="16"/>
              </w:rPr>
              <w:t xml:space="preserve"> (research/competitors.md): seven research agents. A negative finding, so no single page proves it.</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Scan: no prepaid membership where one button alerts a lawyer, the consulate and a trusted contact in the UAE, Saudi Arabia, Qatar, Kuwait, Bahrain or Oman. 2 Oct: six more searches, two in Arabic, found nothing that contradicts it. Nearest: Lawyers.bh (a lawyer only), Saudi consultation apps (Ayas, Tashawr, Shwra) and police SOS apps.</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Searches were mostly in English and thin in Arabic, as the plan’s and teaser’s comments say. Worth a native-speaker check.</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Not contradicted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applicable</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Legal-advice subscription from AED 95 a month. Markets "police matters" but sells advice calls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“AED 95 to 399 a month”. Outreach: “covering employment, rental, family and “police matters”, with “Legal SOS support””.</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r>
              <w:rPr>
                <w:sz w:val="16"/>
                <w:szCs w:val="16"/>
              </w:rPr>
              <w:br/>
            </w:r>
            <w:r>
              <w:rPr>
                <w:rFonts w:ascii="Instrument Sans SemiBold" w:cs="Instrument Sans SemiBold" w:eastAsia="Instrument Sans SemiBold" w:hAnsi="Instrument Sans SemiBold"/>
                <w:color w:val="13261D"/>
                <w:sz w:val="16"/>
                <w:szCs w:val="16"/>
              </w:rPr>
              <w:t xml:space="preserve">Outreach</w:t>
            </w:r>
            <w:r>
              <w:rPr>
                <w:rFonts w:ascii="Instrument Sans" w:cs="Instrument Sans" w:eastAsia="Instrument Sans" w:hAnsi="Instrument Sans"/>
                <w:color w:val="13261D"/>
                <w:sz w:val="16"/>
                <w:szCs w:val="16"/>
              </w:rPr>
              <w:t xml:space="preserve">, Ahmed Odeh</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home page</w:t>
            </w:r>
            <w:r>
              <w:rPr>
                <w:sz w:val="16"/>
                <w:szCs w:val="16"/>
              </w:rPr>
              <w:br/>
            </w:r>
            <w:hyperlink w:history="1" r:id="rIdymrv67bosrgmesqjt_0um">
              <w:r>
                <w:rPr>
                  <w:rFonts w:ascii="Instrument Sans" w:cs="Instrument Sans" w:eastAsia="Instrument Sans" w:hAnsi="Instrument Sans"/>
                  <w:color w:val="0B7549"/>
                  <w:sz w:val="15"/>
                  <w:szCs w:val="15"/>
                  <w:u w:val="single"/>
                </w:rPr>
                <w:t xml:space="preserve">https://legalcover.ae/</w:t>
              </w:r>
            </w:hyperlink>
            <w:r>
              <w:rPr>
                <w:sz w:val="16"/>
                <w:szCs w:val="16"/>
              </w:rPr>
              <w:br/>
            </w: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personal plans</w:t>
            </w:r>
            <w:r>
              <w:rPr>
                <w:sz w:val="16"/>
                <w:szCs w:val="16"/>
              </w:rPr>
              <w:br/>
            </w:r>
            <w:hyperlink w:history="1" r:id="rIdnd_rt4dxpwl38ka8llyvt">
              <w:r>
                <w:rPr>
                  <w:rFonts w:ascii="Instrument Sans" w:cs="Instrument Sans" w:eastAsia="Instrument Sans" w:hAnsi="Instrument Sans"/>
                  <w:color w:val="0B7549"/>
                  <w:sz w:val="15"/>
                  <w:szCs w:val="15"/>
                  <w:u w:val="single"/>
                </w:rPr>
                <w:t xml:space="preserve">https://legalcover.ae/personal-plans/</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Employment issues | Rental disputes | Custody and divorce | Debt and loan issues | Police matters | Agreement reviews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SOS support: When an urgent dispute, police matter, or contract problem appears, Legal Cover provides a clear route to request legal support.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From AED 95/month</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Plans: Lite AED 95 a month (“Limited time”), Essential 299, Premium 399; annual AED 999 to 3,960.</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AED 95 is a limited-time Lite price; the prices sit in the page’s script data.</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with response targets from the same working day to 24 hours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home page and FAQ</w:t>
            </w:r>
            <w:r>
              <w:rPr>
                <w:sz w:val="16"/>
                <w:szCs w:val="16"/>
              </w:rPr>
              <w:br/>
            </w:r>
            <w:hyperlink w:history="1" r:id="rIdc_gkawjqq_oia_0kqvmpg">
              <w:r>
                <w:rPr>
                  <w:rFonts w:ascii="Instrument Sans" w:cs="Instrument Sans" w:eastAsia="Instrument Sans" w:hAnsi="Instrument Sans"/>
                  <w:color w:val="0B7549"/>
                  <w:sz w:val="15"/>
                  <w:szCs w:val="15"/>
                  <w:u w:val="single"/>
                </w:rPr>
                <w:t xml:space="preserve">https://legalcover.ae/</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Response targets vary by plan, including 24-hour, eight-hour, priority, and same-working-day options.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Premium plan: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Guaranteed lawyer booking within the same working day</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Loose: “same working day” is a lawyer-booking promise, and there is an eight-hour option. Safer: “response targets of 24 hours, eight hours or the same working day, by plan”.</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No app and no court representation.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“Office-hours advice calls, no court work, no app.”</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Terms &amp; Conditions</w:t>
            </w:r>
            <w:r>
              <w:rPr>
                <w:sz w:val="16"/>
                <w:szCs w:val="16"/>
              </w:rPr>
              <w:br/>
            </w:r>
            <w:hyperlink w:history="1" r:id="rIdnm4cy6im_13uopk59uds5">
              <w:r>
                <w:rPr>
                  <w:rFonts w:ascii="Instrument Sans" w:cs="Instrument Sans" w:eastAsia="Instrument Sans" w:hAnsi="Instrument Sans"/>
                  <w:color w:val="0B7549"/>
                  <w:sz w:val="15"/>
                  <w:szCs w:val="15"/>
                  <w:u w:val="single"/>
                </w:rPr>
                <w:t xml:space="preserve">https://legalcover.ae/terms-and-conditions/</w:t>
              </w:r>
            </w:hyperlink>
            <w:r>
              <w:rPr>
                <w:sz w:val="16"/>
                <w:szCs w:val="16"/>
              </w:rPr>
              <w:br/>
            </w:r>
            <w:r>
              <w:rPr>
                <w:rFonts w:ascii="Instrument Sans SemiBold" w:cs="Instrument Sans SemiBold" w:eastAsia="Instrument Sans SemiBold" w:hAnsi="Instrument Sans SemiBold"/>
                <w:color w:val="13261D"/>
                <w:sz w:val="16"/>
                <w:szCs w:val="16"/>
              </w:rPr>
              <w:t xml:space="preserve">Legal Cover</w:t>
            </w:r>
            <w:r>
              <w:rPr>
                <w:rFonts w:ascii="Instrument Sans" w:cs="Instrument Sans" w:eastAsia="Instrument Sans" w:hAnsi="Instrument Sans"/>
                <w:color w:val="13261D"/>
                <w:sz w:val="16"/>
                <w:szCs w:val="16"/>
              </w:rPr>
              <w:t xml:space="preserve">, contact page</w:t>
            </w:r>
            <w:r>
              <w:rPr>
                <w:sz w:val="16"/>
                <w:szCs w:val="16"/>
              </w:rPr>
              <w:br/>
            </w:r>
            <w:hyperlink w:history="1" r:id="rIdjgtprclryylx2syzofjog">
              <w:r>
                <w:rPr>
                  <w:rFonts w:ascii="Instrument Sans" w:cs="Instrument Sans" w:eastAsia="Instrument Sans" w:hAnsi="Instrument Sans"/>
                  <w:color w:val="0B7549"/>
                  <w:sz w:val="15"/>
                  <w:szCs w:val="15"/>
                  <w:u w:val="single"/>
                </w:rPr>
                <w:t xml:space="preserve">https://legalcover.ae/contact/</w:t>
              </w:r>
            </w:hyperlink>
            <w:r>
              <w:rPr>
                <w:sz w:val="16"/>
                <w:szCs w:val="16"/>
              </w:rPr>
              <w:br/>
            </w:r>
            <w:r>
              <w:rPr>
                <w:rFonts w:ascii="Instrument Sans SemiBold" w:cs="Instrument Sans SemiBold" w:eastAsia="Instrument Sans SemiBold" w:hAnsi="Instrument Sans SemiBold"/>
                <w:color w:val="13261D"/>
                <w:sz w:val="16"/>
                <w:szCs w:val="16"/>
              </w:rPr>
              <w:t xml:space="preserve">Apple App Store and Google Play</w:t>
            </w:r>
            <w:r>
              <w:rPr>
                <w:rFonts w:ascii="Instrument Sans" w:cs="Instrument Sans" w:eastAsia="Instrument Sans" w:hAnsi="Instrument Sans"/>
                <w:color w:val="13261D"/>
                <w:sz w:val="16"/>
                <w:szCs w:val="16"/>
              </w:rPr>
              <w:t xml:space="preserve">, searches in the UAE store fronts, 2 Oct.</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Legal Cover does not provide court representation or advocacy services.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Working hours | Monday to Friday | 9:00 AM to 6:00 PM UAE time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No Legal Cover UAE app in either store. “Legal Cover Plus” on Google Play belongs to an unrelated South African firm.</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“No app” rests on not finding one.</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Not applicable</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C5</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Lawyers.bh Legal SOS (Bahrain):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An SOS page that sends the nearest advocate within minutes, around the clock. Pay per incident: BHD 150 for an arrest.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“Bahrain’s Lawyers.bh “Legal SOS”, at BHD 150 a call-out.”</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 SWOT threats (“like Bahrain’s”)</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Lawyers.bh</w:t>
            </w:r>
            <w:r>
              <w:rPr>
                <w:sz w:val="16"/>
                <w:szCs w:val="16"/>
              </w:rPr>
              <w:br/>
            </w:r>
            <w:hyperlink w:history="1" r:id="rIdw_jf3yzdujfztmydcf6mu">
              <w:r>
                <w:rPr>
                  <w:rFonts w:ascii="Instrument Sans" w:cs="Instrument Sans" w:eastAsia="Instrument Sans" w:hAnsi="Instrument Sans"/>
                  <w:color w:val="0B7549"/>
                  <w:sz w:val="15"/>
                  <w:szCs w:val="15"/>
                  <w:u w:val="single"/>
                </w:rPr>
                <w:t xml:space="preserve">https://www.lawyers.bh/en/sos</w:t>
              </w:r>
            </w:hyperlink>
            <w:r>
              <w:rPr>
                <w:sz w:val="16"/>
                <w:szCs w:val="16"/>
              </w:rPr>
              <w:br/>
            </w:r>
            <w:r>
              <w:rPr>
                <w:rFonts w:ascii="Instrument Sans SemiBold" w:cs="Instrument Sans SemiBold" w:eastAsia="Instrument Sans SemiBold" w:hAnsi="Instrument Sans SemiBold"/>
                <w:color w:val="13261D"/>
                <w:sz w:val="16"/>
                <w:szCs w:val="16"/>
              </w:rPr>
              <w:t xml:space="preserve">Lawyers.bh</w:t>
            </w:r>
            <w:r>
              <w:rPr>
                <w:sz w:val="16"/>
                <w:szCs w:val="16"/>
              </w:rPr>
              <w:br/>
            </w:r>
            <w:hyperlink w:history="1" r:id="rIdlpmxmmyvirjgqc_oispns">
              <w:r>
                <w:rPr>
                  <w:rFonts w:ascii="Instrument Sans" w:cs="Instrument Sans" w:eastAsia="Instrument Sans" w:hAnsi="Instrument Sans"/>
                  <w:color w:val="0B7549"/>
                  <w:sz w:val="15"/>
                  <w:szCs w:val="15"/>
                  <w:u w:val="single"/>
                </w:rPr>
                <w:t xml:space="preserve">https://www.lawyers.bh/en/about</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We connect you to the nearest advocate in Bahrain within minutes. Available 24/7.</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Arrest, Detention &amp; Investigations ... 150 BHD Initial Response Fee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About:</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an online brokerage platform ... It is not a law firm</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It “connects” rather than sends, and BHD 150 is an initial response fee, which may not be the full cost.</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C6</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Dubai law firms with 24/7 arrest lines: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Call after an arrest. Some promise a response within 30 minutes and attend the police station. Fees set per case.</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Partner or competitor (Al Arabi, Ittihad)</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Al Arabi Legal Consultancy</w:t>
            </w:r>
            <w:r>
              <w:rPr>
                <w:rFonts w:ascii="Instrument Sans" w:cs="Instrument Sans" w:eastAsia="Instrument Sans" w:hAnsi="Instrument Sans"/>
                <w:color w:val="13261D"/>
                <w:sz w:val="16"/>
                <w:szCs w:val="16"/>
              </w:rPr>
              <w:t xml:space="preserve">, alarabi.law: Criminal law</w:t>
            </w:r>
            <w:r>
              <w:rPr>
                <w:sz w:val="16"/>
                <w:szCs w:val="16"/>
              </w:rPr>
              <w:br/>
            </w:r>
            <w:hyperlink w:history="1" r:id="rIdzgqfojmtj7bh0mbwkxytk">
              <w:r>
                <w:rPr>
                  <w:rFonts w:ascii="Instrument Sans" w:cs="Instrument Sans" w:eastAsia="Instrument Sans" w:hAnsi="Instrument Sans"/>
                  <w:color w:val="0B7549"/>
                  <w:sz w:val="15"/>
                  <w:szCs w:val="15"/>
                  <w:u w:val="single"/>
                </w:rPr>
                <w:t xml:space="preserve">https://www.alarabi.law/en/services/criminal-law</w:t>
              </w:r>
            </w:hyperlink>
            <w:r>
              <w:rPr>
                <w:sz w:val="16"/>
                <w:szCs w:val="16"/>
              </w:rPr>
              <w:br/>
            </w:r>
            <w:r>
              <w:rPr>
                <w:rFonts w:ascii="Instrument Sans SemiBold" w:cs="Instrument Sans SemiBold" w:eastAsia="Instrument Sans SemiBold" w:hAnsi="Instrument Sans SemiBold"/>
                <w:color w:val="13261D"/>
                <w:sz w:val="16"/>
                <w:szCs w:val="16"/>
              </w:rPr>
              <w:t xml:space="preserve">Ittihad Legal Consultants</w:t>
            </w:r>
            <w:r>
              <w:rPr>
                <w:rFonts w:ascii="Instrument Sans" w:cs="Instrument Sans" w:eastAsia="Instrument Sans" w:hAnsi="Instrument Sans"/>
                <w:color w:val="13261D"/>
                <w:sz w:val="16"/>
                <w:szCs w:val="16"/>
              </w:rPr>
              <w:t xml:space="preserve">, ittihadlegalconsultants.com: Lawyers in Dubai</w:t>
            </w:r>
            <w:r>
              <w:rPr>
                <w:sz w:val="16"/>
                <w:szCs w:val="16"/>
              </w:rPr>
              <w:br/>
            </w:r>
            <w:hyperlink w:history="1" r:id="rId5guxrsldudthq8fktzl4v">
              <w:r>
                <w:rPr>
                  <w:rFonts w:ascii="Instrument Sans" w:cs="Instrument Sans" w:eastAsia="Instrument Sans" w:hAnsi="Instrument Sans"/>
                  <w:color w:val="0B7549"/>
                  <w:sz w:val="15"/>
                  <w:szCs w:val="15"/>
                  <w:u w:val="single"/>
                </w:rPr>
                <w:t xml:space="preserve">https://ittihadlegalconsultants.com/lawyers-in-dubai/</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Al Arabi:</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Available 24/7 for Emergency</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our team responds in under 30 minutes, attends the station with you</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Ittihad:</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Arrested or summoned? We attend Dubai Police stations 24/7.</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Court representation typically ranges from AED 5,000–50,000</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Both are legal consultancies; Al Arabi says its “partner’s licensed criminal lawyers” handle court work. Ittihad’s range is for court work in general.</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C7</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Phone SOS (Apple, Android):</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Free. Calls emergency services and alerts the member's emergency contacts with their location.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“Phones already have SOS buttons, which call the police.”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Apple Support</w:t>
            </w:r>
            <w:r>
              <w:rPr>
                <w:rFonts w:ascii="Instrument Sans" w:cs="Instrument Sans" w:eastAsia="Instrument Sans" w:hAnsi="Instrument Sans"/>
                <w:color w:val="13261D"/>
                <w:sz w:val="16"/>
                <w:szCs w:val="16"/>
              </w:rPr>
              <w:t xml:space="preserve">, iPhone User Guide: contact emergency services</w:t>
            </w:r>
            <w:r>
              <w:rPr>
                <w:sz w:val="16"/>
                <w:szCs w:val="16"/>
              </w:rPr>
              <w:br/>
            </w:r>
            <w:hyperlink w:history="1" r:id="rIdgemgmsza8otsur1ngfbxb">
              <w:r>
                <w:rPr>
                  <w:rFonts w:ascii="Instrument Sans" w:cs="Instrument Sans" w:eastAsia="Instrument Sans" w:hAnsi="Instrument Sans"/>
                  <w:color w:val="0B7549"/>
                  <w:sz w:val="15"/>
                  <w:szCs w:val="15"/>
                  <w:u w:val="single"/>
                </w:rPr>
                <w:t xml:space="preserve">https://support.apple.com/guide/iphone/contact-emergency-services-iph3c99374c/ios</w:t>
              </w:r>
            </w:hyperlink>
            <w:r>
              <w:rPr>
                <w:sz w:val="16"/>
                <w:szCs w:val="16"/>
              </w:rPr>
              <w:br/>
            </w:r>
            <w:r>
              <w:rPr>
                <w:rFonts w:ascii="Instrument Sans SemiBold" w:cs="Instrument Sans SemiBold" w:eastAsia="Instrument Sans SemiBold" w:hAnsi="Instrument Sans SemiBold"/>
                <w:color w:val="13261D"/>
                <w:sz w:val="16"/>
                <w:szCs w:val="16"/>
              </w:rPr>
              <w:t xml:space="preserve">Apple Support</w:t>
            </w:r>
            <w:r>
              <w:rPr>
                <w:rFonts w:ascii="Instrument Sans" w:cs="Instrument Sans" w:eastAsia="Instrument Sans" w:hAnsi="Instrument Sans"/>
                <w:color w:val="13261D"/>
                <w:sz w:val="16"/>
                <w:szCs w:val="16"/>
              </w:rPr>
              <w:t xml:space="preserve">, Emergency SOS on Apple Watch</w:t>
            </w:r>
            <w:r>
              <w:rPr>
                <w:sz w:val="16"/>
                <w:szCs w:val="16"/>
              </w:rPr>
              <w:br/>
            </w:r>
            <w:hyperlink w:history="1" r:id="rIdgrsm6-4pldp_b8qtz5ygz">
              <w:r>
                <w:rPr>
                  <w:rFonts w:ascii="Instrument Sans" w:cs="Instrument Sans" w:eastAsia="Instrument Sans" w:hAnsi="Instrument Sans"/>
                  <w:color w:val="0B7549"/>
                  <w:sz w:val="15"/>
                  <w:szCs w:val="15"/>
                  <w:u w:val="single"/>
                </w:rPr>
                <w:t xml:space="preserve">https://support.apple.com/en-us/108374</w:t>
              </w:r>
            </w:hyperlink>
            <w:r>
              <w:rPr>
                <w:sz w:val="16"/>
                <w:szCs w:val="16"/>
              </w:rPr>
              <w:br/>
            </w:r>
            <w:r>
              <w:rPr>
                <w:rFonts w:ascii="Instrument Sans SemiBold" w:cs="Instrument Sans SemiBold" w:eastAsia="Instrument Sans SemiBold" w:hAnsi="Instrument Sans SemiBold"/>
                <w:color w:val="13261D"/>
                <w:sz w:val="16"/>
                <w:szCs w:val="16"/>
              </w:rPr>
              <w:t xml:space="preserve">Google Android Help</w:t>
            </w:r>
            <w:r>
              <w:rPr>
                <w:rFonts w:ascii="Instrument Sans" w:cs="Instrument Sans" w:eastAsia="Instrument Sans" w:hAnsi="Instrument Sans"/>
                <w:color w:val="13261D"/>
                <w:sz w:val="16"/>
                <w:szCs w:val="16"/>
              </w:rPr>
              <w:t xml:space="preserve">, Emergency SOS on Android</w:t>
            </w:r>
            <w:r>
              <w:rPr>
                <w:sz w:val="16"/>
                <w:szCs w:val="16"/>
              </w:rPr>
              <w:br/>
            </w:r>
            <w:hyperlink w:history="1" r:id="rIdeam4xaqv4u3eoe9qqqcod">
              <w:r>
                <w:rPr>
                  <w:rFonts w:ascii="Instrument Sans" w:cs="Instrument Sans" w:eastAsia="Instrument Sans" w:hAnsi="Instrument Sans"/>
                  <w:color w:val="0B7549"/>
                  <w:sz w:val="15"/>
                  <w:szCs w:val="15"/>
                  <w:u w:val="single"/>
                </w:rPr>
                <w:t xml:space="preserve">https://support.google.com/android/answer/9319337?hl=en</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After an emergency call ends, your iPhone alerts your emergency contacts with a text message, unless you choose to cancel.</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Your iPhone sends your current location (if available)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Android:</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press the power button 5 times or more</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then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touch and hold inside the red circle for 3 seconds</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Contacts are told after the call ends. “Free” is our word: it is built in and no fee is mentioned. They call emergency services, not only the police.</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(redirects to the UK copy)</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C8</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Travel insurance and premium cards: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Bail, or a lawyer's fee advanced to the card, on trips only (Sukoon Travel Easy, Amex Platinum). Sukoon's travel policy excludes detention for breaking the law.</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 SWOT strengths (“card and travel cover only works on trips”)</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Sukoon Insurance</w:t>
            </w:r>
            <w:r>
              <w:rPr>
                <w:rFonts w:ascii="Instrument Sans" w:cs="Instrument Sans" w:eastAsia="Instrument Sans" w:hAnsi="Instrument Sans"/>
                <w:color w:val="13261D"/>
                <w:sz w:val="16"/>
                <w:szCs w:val="16"/>
              </w:rPr>
              <w:t xml:space="preserve">, Travel Easy terms and conditions (PDF, 04/2025)</w:t>
            </w:r>
            <w:r>
              <w:rPr>
                <w:sz w:val="16"/>
                <w:szCs w:val="16"/>
              </w:rPr>
              <w:br/>
            </w:r>
            <w:hyperlink w:history="1" r:id="rIdd5xh5cyufja45v2_w9-og">
              <w:r>
                <w:rPr>
                  <w:rFonts w:ascii="Instrument Sans" w:cs="Instrument Sans" w:eastAsia="Instrument Sans" w:hAnsi="Instrument Sans"/>
                  <w:color w:val="0B7549"/>
                  <w:sz w:val="15"/>
                  <w:szCs w:val="15"/>
                  <w:u w:val="single"/>
                </w:rPr>
                <w:t xml:space="preserve">https://www.sukoon.com/-/media/project/sukoon/sukooninsurance/documents/personal/travel/product-information---travel-easy-terms-and-conditions-english.pdf</w:t>
              </w:r>
            </w:hyperlink>
            <w:r>
              <w:rPr>
                <w:sz w:val="16"/>
                <w:szCs w:val="16"/>
              </w:rPr>
              <w:br/>
            </w:r>
            <w:r>
              <w:rPr>
                <w:rFonts w:ascii="Instrument Sans SemiBold" w:cs="Instrument Sans SemiBold" w:eastAsia="Instrument Sans SemiBold" w:hAnsi="Instrument Sans SemiBold"/>
                <w:color w:val="13261D"/>
                <w:sz w:val="16"/>
                <w:szCs w:val="16"/>
              </w:rPr>
              <w:t xml:space="preserve">Sukoon Insurance</w:t>
            </w:r>
            <w:r>
              <w:rPr>
                <w:sz w:val="16"/>
                <w:szCs w:val="16"/>
              </w:rPr>
              <w:br/>
            </w:r>
            <w:hyperlink w:history="1" r:id="rIdlebz0md6jsvpifkzyf7u5">
              <w:r>
                <w:rPr>
                  <w:rFonts w:ascii="Instrument Sans" w:cs="Instrument Sans" w:eastAsia="Instrument Sans" w:hAnsi="Instrument Sans"/>
                  <w:color w:val="0B7549"/>
                  <w:sz w:val="15"/>
                  <w:szCs w:val="15"/>
                  <w:u w:val="single"/>
                </w:rPr>
                <w:t xml:space="preserve">https://www.sukoon.com/travel-insurance</w:t>
              </w:r>
            </w:hyperlink>
            <w:r>
              <w:rPr>
                <w:sz w:val="16"/>
                <w:szCs w:val="16"/>
              </w:rPr>
              <w:br/>
            </w:r>
            <w:r>
              <w:rPr>
                <w:rFonts w:ascii="Instrument Sans" w:cs="Instrument Sans" w:eastAsia="Instrument Sans" w:hAnsi="Instrument Sans"/>
                <w:color w:val="13261D"/>
                <w:sz w:val="16"/>
                <w:szCs w:val="16"/>
              </w:rPr>
              <w:t xml:space="preserve">Amex Platinum: see C9 and C10.</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Section 15:</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We will pay Bail Bond costs an Insured Person incurs during the course of an Insured Journey, as a result of false arrest or wrongful detention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An Insured Journey</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Begins and ends in the Insured Person's Country of Residence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Section 13.2:</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We shall not be liable for any Detention attributable to the Insured Person breaking the law of any country or state.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Bail limits USD 5,000 to 15,000.</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“breaking the law” exclusion sits in the detention benefit (s13); bail is paid only for false arrest or wrongful detention anyway.</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C9</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Amex Platinum's 2022 terms named AIG's Dubai branch (American Home Assurance Company) for the card's benefit that appoints a lawyer and advances bail when a cardmember is jailed on a trip</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s2, Insurance row (comment for Jon)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American Express Middle East</w:t>
            </w:r>
            <w:r>
              <w:rPr>
                <w:rFonts w:ascii="Instrument Sans" w:cs="Instrument Sans" w:eastAsia="Instrument Sans" w:hAnsi="Instrument Sans"/>
                <w:color w:val="13261D"/>
                <w:sz w:val="16"/>
                <w:szCs w:val="16"/>
              </w:rPr>
              <w:t xml:space="preserve">, Platinum card insurance benefits, terms and conditions (PDF)</w:t>
            </w:r>
            <w:r>
              <w:rPr>
                <w:sz w:val="16"/>
                <w:szCs w:val="16"/>
              </w:rPr>
              <w:br/>
            </w:r>
            <w:hyperlink w:history="1" r:id="rIdgvvy-hkhghzdd_pl4vfhv">
              <w:r>
                <w:rPr>
                  <w:rFonts w:ascii="Instrument Sans" w:cs="Instrument Sans" w:eastAsia="Instrument Sans" w:hAnsi="Instrument Sans"/>
                  <w:color w:val="0B7549"/>
                  <w:sz w:val="15"/>
                  <w:szCs w:val="15"/>
                  <w:u w:val="single"/>
                </w:rPr>
                <w:t xml:space="preserve">https://www.datocms-assets.com/93849/1677841622-card-insurance-benefits-terms-conditions.pdf</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This insurance policy is underwritten by American Home Assurance Company (Dubai Br.) – Policy number A&amp;H/AMEX/2021</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If You are jailed (or threatened to be jailed) We shall appoint and advance the fees of a lawyer up to US$ 1,000 (to be charged to Your account and subject to authorisation).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Bail bond advance up to US$ 10,000, also charged to the card. A trip can be a UAE journey with a flight or one pre-booked night.</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PDF prints no date: “2022” comes from its file data (created 26 Apr 2022). AIG appears through its claims address (myclaim@aig.com).</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C10</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current wording (March 2026) names Liva Insurance</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s2, Insurance row (comment for Jon); s8 source note</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American Express Middle East</w:t>
            </w:r>
            <w:r>
              <w:rPr>
                <w:rFonts w:ascii="Instrument Sans" w:cs="Instrument Sans" w:eastAsia="Instrument Sans" w:hAnsi="Instrument Sans"/>
                <w:color w:val="13261D"/>
                <w:sz w:val="16"/>
                <w:szCs w:val="16"/>
              </w:rPr>
              <w:t xml:space="preserve">, Platinum policy wording, UAE, March 2026 (PDF)</w:t>
            </w:r>
            <w:r>
              <w:rPr>
                <w:sz w:val="16"/>
                <w:szCs w:val="16"/>
              </w:rPr>
              <w:br/>
            </w:r>
            <w:hyperlink w:history="1" r:id="rIdg9ekxjxnmoqfmlfhnowvb">
              <w:r>
                <w:rPr>
                  <w:rFonts w:ascii="Instrument Sans" w:cs="Instrument Sans" w:eastAsia="Instrument Sans" w:hAnsi="Instrument Sans"/>
                  <w:color w:val="0B7549"/>
                  <w:sz w:val="15"/>
                  <w:szCs w:val="15"/>
                  <w:u w:val="single"/>
                </w:rPr>
                <w:t xml:space="preserve">https://www.datocms-assets.com/93849/1774869687-amex-nac-policy-wording-uae-platinum-mar26-v3.pdf</w:t>
              </w:r>
            </w:hyperlink>
            <w:r>
              <w:rPr>
                <w:sz w:val="16"/>
                <w:szCs w:val="16"/>
              </w:rPr>
              <w:br/>
            </w:r>
            <w:r>
              <w:rPr>
                <w:rFonts w:ascii="Instrument Sans" w:cs="Instrument Sans" w:eastAsia="Instrument Sans" w:hAnsi="Instrument Sans"/>
                <w:color w:val="13261D"/>
                <w:sz w:val="16"/>
                <w:szCs w:val="16"/>
              </w:rPr>
              <w:t xml:space="preserve">Linked as “Terms and Conditions for Insurance Benefits” from</w:t>
            </w:r>
            <w:r>
              <w:rPr>
                <w:sz w:val="16"/>
                <w:szCs w:val="16"/>
              </w:rPr>
              <w:br/>
            </w:r>
            <w:r>
              <w:rPr>
                <w:rFonts w:ascii="Instrument Sans" w:cs="Instrument Sans" w:eastAsia="Instrument Sans" w:hAnsi="Instrument Sans"/>
                <w:color w:val="13261D"/>
                <w:sz w:val="16"/>
                <w:szCs w:val="16"/>
              </w:rPr>
              <w:t xml:space="preserve">americanexpress.ae: The Platinum Card</w:t>
            </w:r>
            <w:r>
              <w:rPr>
                <w:sz w:val="16"/>
                <w:szCs w:val="16"/>
              </w:rPr>
              <w:br/>
            </w:r>
            <w:hyperlink w:history="1" r:id="rIdxl2wz-0uqd-o0sg7b6zdm">
              <w:r>
                <w:rPr>
                  <w:rFonts w:ascii="Instrument Sans" w:cs="Instrument Sans" w:eastAsia="Instrument Sans" w:hAnsi="Instrument Sans"/>
                  <w:color w:val="0B7549"/>
                  <w:sz w:val="15"/>
                  <w:szCs w:val="15"/>
                  <w:u w:val="single"/>
                </w:rPr>
                <w:t xml:space="preserve">https://www.americanexpress.ae/en-ae/cards/the-platinum-card-aed/</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This insurance policy is underwritten by Liva Insurance B.S.C. Closed – Dubai Branch – Policy number A&amp;H/AMEX/2021</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The jailed lawyer (US$ 1,000) and bail (US$ 10,000) advances and the trip definition are unchanged.</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File created 25 Mar 2026 (name ends “mar26-v3”).</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Employer assistance (International SOS):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24-hour assistance for organisations' staff, with a Dubai assistance centre. For an arrest, its published service is a lawyer referral.</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Briefing: “For an arrest it gives lawyer names only.”</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Partner or competitor</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International SOS</w:t>
            </w:r>
            <w:r>
              <w:rPr>
                <w:rFonts w:ascii="Instrument Sans" w:cs="Instrument Sans" w:eastAsia="Instrument Sans" w:hAnsi="Instrument Sans"/>
                <w:color w:val="13261D"/>
                <w:sz w:val="16"/>
                <w:szCs w:val="16"/>
              </w:rPr>
              <w:t xml:space="preserve">, internationalsos.com: United Arab Emirates</w:t>
            </w:r>
            <w:r>
              <w:rPr>
                <w:sz w:val="16"/>
                <w:szCs w:val="16"/>
              </w:rPr>
              <w:br/>
            </w:r>
            <w:hyperlink w:history="1" r:id="rId5lzgnpn3odschybrnv3kg">
              <w:r>
                <w:rPr>
                  <w:rFonts w:ascii="Instrument Sans" w:cs="Instrument Sans" w:eastAsia="Instrument Sans" w:hAnsi="Instrument Sans"/>
                  <w:color w:val="0B7549"/>
                  <w:sz w:val="15"/>
                  <w:szCs w:val="15"/>
                  <w:u w:val="single"/>
                </w:rPr>
                <w:t xml:space="preserve">https://www.internationalsos.com/locations/uae</w:t>
              </w:r>
            </w:hyperlink>
            <w:r>
              <w:rPr>
                <w:sz w:val="16"/>
                <w:szCs w:val="16"/>
              </w:rPr>
              <w:br/>
            </w:r>
            <w:r>
              <w:rPr>
                <w:rFonts w:ascii="Instrument Sans SemiBold" w:cs="Instrument Sans SemiBold" w:eastAsia="Instrument Sans SemiBold" w:hAnsi="Instrument Sans SemiBold"/>
                <w:color w:val="13261D"/>
                <w:sz w:val="16"/>
                <w:szCs w:val="16"/>
              </w:rPr>
              <w:t xml:space="preserve">International SOS service description, hosted by the University of the Incarnate Word (US)</w:t>
            </w:r>
            <w:r>
              <w:rPr>
                <w:rFonts w:ascii="Instrument Sans" w:cs="Instrument Sans" w:eastAsia="Instrument Sans" w:hAnsi="Instrument Sans"/>
                <w:color w:val="13261D"/>
                <w:sz w:val="16"/>
                <w:szCs w:val="16"/>
              </w:rPr>
              <w:t xml:space="preserve">, uiw.edu: isosservices.pdf</w:t>
            </w:r>
            <w:r>
              <w:rPr>
                <w:sz w:val="16"/>
                <w:szCs w:val="16"/>
              </w:rPr>
              <w:br/>
            </w:r>
            <w:hyperlink w:history="1" r:id="rId-1kuuftzoaanpakyumzmn">
              <w:r>
                <w:rPr>
                  <w:rFonts w:ascii="Instrument Sans" w:cs="Instrument Sans" w:eastAsia="Instrument Sans" w:hAnsi="Instrument Sans"/>
                  <w:color w:val="0B7549"/>
                  <w:sz w:val="15"/>
                  <w:szCs w:val="15"/>
                  <w:u w:val="single"/>
                </w:rPr>
                <w:t xml:space="preserve">https://www.uiw.edu/studyabroad/_docs/isosservices.pdf</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DUBAI ASSISTANCE CENTRE ... Office Hours: Open 24 hours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Workforce resilience subscription for your domestic population and international assignees.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PDF:</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Intl SOS will provide the Assistance Service Member with the name, address, telephone numbers ... for referred lawyers and legal practitioners.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Intl SOS will not give any legal advice to the member.</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The Dubai centre is confirmed. The referral wording comes from an old, generic copy (created 2015, edited 2021) on a US university site, not from International SOS’s own pages.</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 (PDF)</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Consulates: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Help once they are told, with lists of local lawyers.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GOV.UK (FCDO)</w:t>
            </w:r>
            <w:r>
              <w:rPr>
                <w:rFonts w:ascii="Instrument Sans" w:cs="Instrument Sans" w:eastAsia="Instrument Sans" w:hAnsi="Instrument Sans"/>
                <w:color w:val="13261D"/>
                <w:sz w:val="16"/>
                <w:szCs w:val="16"/>
              </w:rPr>
              <w:t xml:space="preserve">, Arrested or detained abroad</w:t>
            </w:r>
            <w:r>
              <w:rPr>
                <w:sz w:val="16"/>
                <w:szCs w:val="16"/>
              </w:rPr>
              <w:br/>
            </w:r>
            <w:hyperlink w:history="1" r:id="rIdli3tvbm65fio1epeayj2k">
              <w:r>
                <w:rPr>
                  <w:rFonts w:ascii="Instrument Sans" w:cs="Instrument Sans" w:eastAsia="Instrument Sans" w:hAnsi="Instrument Sans"/>
                  <w:color w:val="0B7549"/>
                  <w:sz w:val="15"/>
                  <w:szCs w:val="15"/>
                  <w:u w:val="single"/>
                </w:rPr>
                <w:t xml:space="preserve">https://www.gov.uk/guidance/arrested-or-detained-abroad</w:t>
              </w:r>
            </w:hyperlink>
            <w:r>
              <w:rPr>
                <w:sz w:val="16"/>
                <w:szCs w:val="16"/>
              </w:rPr>
              <w:br/>
            </w:r>
            <w:r>
              <w:rPr>
                <w:rFonts w:ascii="Instrument Sans SemiBold" w:cs="Instrument Sans SemiBold" w:eastAsia="Instrument Sans SemiBold" w:hAnsi="Instrument Sans SemiBold"/>
                <w:color w:val="13261D"/>
                <w:sz w:val="16"/>
                <w:szCs w:val="16"/>
              </w:rPr>
              <w:t xml:space="preserve">GOV.UK (FCDO)</w:t>
            </w:r>
            <w:r>
              <w:rPr>
                <w:rFonts w:ascii="Instrument Sans" w:cs="Instrument Sans" w:eastAsia="Instrument Sans" w:hAnsi="Instrument Sans"/>
                <w:color w:val="13261D"/>
                <w:sz w:val="16"/>
                <w:szCs w:val="16"/>
              </w:rPr>
              <w:t xml:space="preserve">, Arrested or in prison in the UAE</w:t>
            </w:r>
            <w:r>
              <w:rPr>
                <w:sz w:val="16"/>
                <w:szCs w:val="16"/>
              </w:rPr>
              <w:br/>
            </w:r>
            <w:hyperlink w:history="1" r:id="rIdigbhngoopybzpmk1sf_gp">
              <w:r>
                <w:rPr>
                  <w:rFonts w:ascii="Instrument Sans" w:cs="Instrument Sans" w:eastAsia="Instrument Sans" w:hAnsi="Instrument Sans"/>
                  <w:color w:val="0B7549"/>
                  <w:sz w:val="15"/>
                  <w:szCs w:val="15"/>
                  <w:u w:val="single"/>
                </w:rPr>
                <w:t xml:space="preserve">https://www.gov.uk/guidance/arrested-or-in-prison-in-the-united-arab-emirates-uae</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embassy or consulate provides a list of local English-speaking lawyers.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embassy or consulate cannot: ... pay for lawyers ... offer legal advice or represent you</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UAE page: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Your personal items including your mobile phone will be taken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In most cases there's no legal aid in the UAE</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UK guidance only; other countries’ consulates were not checked.</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US says UAE authorities "do not routinely notify" it of a citizen's arrest.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SWOT:</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Consulates are not routinely told of arrests (US State Department).</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competitor table and SWOT opportunities</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US Department of State</w:t>
            </w:r>
            <w:r>
              <w:rPr>
                <w:rFonts w:ascii="Instrument Sans" w:cs="Instrument Sans" w:eastAsia="Instrument Sans" w:hAnsi="Instrument Sans"/>
                <w:color w:val="13261D"/>
                <w:sz w:val="16"/>
                <w:szCs w:val="16"/>
              </w:rPr>
              <w:t xml:space="preserve">, travel.state.gov: UAE country information (Wayback copy, 9 Jul 2026)</w:t>
            </w:r>
            <w:r>
              <w:rPr>
                <w:sz w:val="16"/>
                <w:szCs w:val="16"/>
              </w:rPr>
              <w:br/>
            </w:r>
            <w:hyperlink w:history="1" r:id="rIdjmsjxin5bqu6fd336za9b">
              <w:r>
                <w:rPr>
                  <w:rFonts w:ascii="Instrument Sans" w:cs="Instrument Sans" w:eastAsia="Instrument Sans" w:hAnsi="Instrument Sans"/>
                  <w:color w:val="0B7549"/>
                  <w:sz w:val="15"/>
                  <w:szCs w:val="15"/>
                  <w:u w:val="single"/>
                </w:rPr>
                <w:t xml:space="preserve">https://web.archive.org/web/20260709012511/https://travel.state.gov/content/travel/en/international-travel/International-Travel-Country-Information-Pages/UnitedArabEmirates.html</w:t>
              </w:r>
            </w:hyperlink>
            <w:r>
              <w:rPr>
                <w:sz w:val="16"/>
                <w:szCs w:val="16"/>
              </w:rPr>
              <w:br/>
            </w:r>
            <w:r>
              <w:rPr>
                <w:rFonts w:ascii="Instrument Sans" w:cs="Instrument Sans" w:eastAsia="Instrument Sans" w:hAnsi="Instrument Sans"/>
                <w:color w:val="13261D"/>
                <w:sz w:val="16"/>
                <w:szCs w:val="16"/>
              </w:rPr>
              <w:t xml:space="preserve">Live page</w:t>
            </w:r>
            <w:r>
              <w:rPr>
                <w:sz w:val="16"/>
                <w:szCs w:val="16"/>
              </w:rPr>
              <w:br/>
            </w:r>
            <w:hyperlink w:history="1" r:id="rIdcnqn8mr7pokonffono5dt">
              <w:r>
                <w:rPr>
                  <w:rFonts w:ascii="Instrument Sans" w:cs="Instrument Sans" w:eastAsia="Instrument Sans" w:hAnsi="Instrument Sans"/>
                  <w:color w:val="0B7549"/>
                  <w:sz w:val="15"/>
                  <w:szCs w:val="15"/>
                  <w:u w:val="single"/>
                </w:rPr>
                <w:t xml:space="preserve">https://travel.state.gov/content/travel/en/international-travel/International-Travel-Country-Information-Pages/UnitedArabEmirates.html</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Arrest Notification: UAE authorities do not routinely notify the U.S. Embassy or consulate of a U.S. citizen's arrest.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Page “Last Updated: August 14, 2023”.</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Supports the table and the briefing. The SWOT line widens it to all consulates; the source speaks only for the US.</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(Wayback)</w:t>
            </w:r>
            <w:r>
              <w:rPr>
                <w:sz w:val="16"/>
                <w:szCs w:val="16"/>
              </w:rPr>
              <w:br/>
            </w:r>
            <w:r>
              <w:rPr>
                <w:rFonts w:ascii="Instrument Sans" w:cs="Instrument Sans" w:eastAsia="Instrument Sans" w:hAnsi="Instrument Sans"/>
                <w:color w:val="13261D"/>
                <w:sz w:val="16"/>
                <w:szCs w:val="16"/>
              </w:rPr>
              <w:t xml:space="preserve">403 (blocks bots)</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Abroad, LegalShield in the US sells membership legal plans whose 24/7 line covers arrests, and says it serves over 4.5 million people.</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note under the competitor table</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LegalShield</w:t>
            </w:r>
            <w:r>
              <w:rPr>
                <w:rFonts w:ascii="Instrument Sans" w:cs="Instrument Sans" w:eastAsia="Instrument Sans" w:hAnsi="Instrument Sans"/>
                <w:color w:val="13261D"/>
                <w:sz w:val="16"/>
                <w:szCs w:val="16"/>
              </w:rPr>
              <w:t xml:space="preserve">, legalshield.com FAQ (Wayback copy, 27 Aug 2026)</w:t>
            </w:r>
            <w:r>
              <w:rPr>
                <w:sz w:val="16"/>
                <w:szCs w:val="16"/>
              </w:rPr>
              <w:br/>
            </w:r>
            <w:hyperlink w:history="1" r:id="rIdlycdernagepa7jrzks_3f">
              <w:r>
                <w:rPr>
                  <w:rFonts w:ascii="Instrument Sans" w:cs="Instrument Sans" w:eastAsia="Instrument Sans" w:hAnsi="Instrument Sans"/>
                  <w:color w:val="0B7549"/>
                  <w:sz w:val="15"/>
                  <w:szCs w:val="15"/>
                  <w:u w:val="single"/>
                </w:rPr>
                <w:t xml:space="preserve">https://web.archive.org/web/20260827221758/https://www.legalshield.com/faq</w:t>
              </w:r>
            </w:hyperlink>
            <w:r>
              <w:rPr>
                <w:sz w:val="16"/>
                <w:szCs w:val="16"/>
              </w:rPr>
              <w:br/>
            </w:r>
            <w:r>
              <w:rPr>
                <w:rFonts w:ascii="Instrument Sans SemiBold" w:cs="Instrument Sans SemiBold" w:eastAsia="Instrument Sans SemiBold" w:hAnsi="Instrument Sans SemiBold"/>
                <w:color w:val="13261D"/>
                <w:sz w:val="16"/>
                <w:szCs w:val="16"/>
              </w:rPr>
              <w:t xml:space="preserve">LegalShield</w:t>
            </w:r>
            <w:r>
              <w:rPr>
                <w:rFonts w:ascii="Instrument Sans" w:cs="Instrument Sans" w:eastAsia="Instrument Sans" w:hAnsi="Instrument Sans"/>
                <w:color w:val="13261D"/>
                <w:sz w:val="16"/>
                <w:szCs w:val="16"/>
              </w:rPr>
              <w:t xml:space="preserve">, legalshield.com pricing (Wayback copy, 8 Aug 2026)</w:t>
            </w:r>
            <w:r>
              <w:rPr>
                <w:sz w:val="16"/>
                <w:szCs w:val="16"/>
              </w:rPr>
              <w:br/>
            </w:r>
            <w:hyperlink w:history="1" r:id="rIdd6fr-usvnzf6qe0gutb16">
              <w:r>
                <w:rPr>
                  <w:rFonts w:ascii="Instrument Sans" w:cs="Instrument Sans" w:eastAsia="Instrument Sans" w:hAnsi="Instrument Sans"/>
                  <w:color w:val="0B7549"/>
                  <w:sz w:val="15"/>
                  <w:szCs w:val="15"/>
                  <w:u w:val="single"/>
                </w:rPr>
                <w:t xml:space="preserve">https://web.archive.org/web/20260808143533/https://www.legalshield.com/pricing</w:t>
              </w:r>
            </w:hyperlink>
            <w:r>
              <w:rPr>
                <w:sz w:val="16"/>
                <w:szCs w:val="16"/>
              </w:rPr>
              <w:br/>
            </w:r>
            <w:r>
              <w:rPr>
                <w:rFonts w:ascii="Instrument Sans" w:cs="Instrument Sans" w:eastAsia="Instrument Sans" w:hAnsi="Instrument Sans"/>
                <w:color w:val="13261D"/>
                <w:sz w:val="16"/>
                <w:szCs w:val="16"/>
              </w:rPr>
              <w:t xml:space="preserve">Live FAQ</w:t>
            </w:r>
            <w:r>
              <w:rPr>
                <w:sz w:val="16"/>
                <w:szCs w:val="16"/>
              </w:rPr>
              <w:br/>
            </w:r>
            <w:hyperlink w:history="1" r:id="rIdpvaygkgeqvveaskzxl4hq">
              <w:r>
                <w:rPr>
                  <w:rFonts w:ascii="Instrument Sans" w:cs="Instrument Sans" w:eastAsia="Instrument Sans" w:hAnsi="Instrument Sans"/>
                  <w:color w:val="0B7549"/>
                  <w:sz w:val="15"/>
                  <w:szCs w:val="15"/>
                  <w:u w:val="single"/>
                </w:rPr>
                <w:t xml:space="preserve">https://www.legalshield.com/faq</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empower over 4.5 million individuals and 140,000 businesses across the United States and parts of Canada</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Access after-hours legal consultation for covered legal emergencies such as an arrest or detainment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Pricing:</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24/7/365 phone access to a lawyer if your rights, freedoms or liberties are being denied or threatened.</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The 4.5 million is company-wide (legal and IDShield identity plans) and includes Canada; its app says “more than 1.1 million members”. Reword or drop the number.</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(Wayback)</w:t>
            </w:r>
            <w:r>
              <w:rPr>
                <w:sz w:val="16"/>
                <w:szCs w:val="16"/>
              </w:rPr>
              <w:br/>
            </w:r>
            <w:r>
              <w:rPr>
                <w:rFonts w:ascii="Instrument Sans" w:cs="Instrument Sans" w:eastAsia="Instrument Sans" w:hAnsi="Instrument Sans"/>
                <w:color w:val="13261D"/>
                <w:sz w:val="16"/>
                <w:szCs w:val="16"/>
              </w:rPr>
              <w:t xml:space="preserve">200 (Wayback)</w:t>
            </w:r>
            <w:r>
              <w:rPr>
                <w:sz w:val="16"/>
                <w:szCs w:val="16"/>
              </w:rPr>
              <w:br/>
            </w:r>
            <w:r>
              <w:rPr>
                <w:rFonts w:ascii="Instrument Sans" w:cs="Instrument Sans" w:eastAsia="Instrument Sans" w:hAnsi="Instrument Sans"/>
                <w:color w:val="13261D"/>
                <w:sz w:val="16"/>
                <w:szCs w:val="16"/>
              </w:rPr>
              <w:t xml:space="preserve">403 (blocks bots)</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C15</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Banks and card issuers: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Their legal and bail benefits work only on trips, so ELA can sit behind a premium-card benefit.</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Partner or competitor</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Emirates NBD (Visa Infinite travel insurance)</w:t>
            </w:r>
            <w:r>
              <w:rPr>
                <w:rFonts w:ascii="Instrument Sans" w:cs="Instrument Sans" w:eastAsia="Instrument Sans" w:hAnsi="Instrument Sans"/>
                <w:color w:val="13261D"/>
                <w:sz w:val="16"/>
                <w:szCs w:val="16"/>
              </w:rPr>
              <w:t xml:space="preserve">, Visa Infinite travel insurance terms, 2023 (PDF)</w:t>
            </w:r>
            <w:r>
              <w:rPr>
                <w:sz w:val="16"/>
                <w:szCs w:val="16"/>
              </w:rPr>
              <w:br/>
            </w:r>
            <w:hyperlink w:history="1" r:id="rIdymowuetdej2pqjihzrznn">
              <w:r>
                <w:rPr>
                  <w:rFonts w:ascii="Instrument Sans" w:cs="Instrument Sans" w:eastAsia="Instrument Sans" w:hAnsi="Instrument Sans"/>
                  <w:color w:val="0B7549"/>
                  <w:sz w:val="15"/>
                  <w:szCs w:val="15"/>
                  <w:u w:val="single"/>
                </w:rPr>
                <w:t xml:space="preserve">https://www.emiratesnbd.com/-/media/enbd/files/promotions/2023/travel_insurance_tc.pdf</w:t>
              </w:r>
            </w:hyperlink>
            <w:r>
              <w:rPr>
                <w:sz w:val="16"/>
                <w:szCs w:val="16"/>
              </w:rPr>
              <w:br/>
            </w:r>
            <w:r>
              <w:rPr>
                <w:rFonts w:ascii="Instrument Sans" w:cs="Instrument Sans" w:eastAsia="Instrument Sans" w:hAnsi="Instrument Sans"/>
                <w:color w:val="13261D"/>
                <w:sz w:val="16"/>
                <w:szCs w:val="16"/>
              </w:rPr>
              <w:t xml:space="preserve">Amex Platinum: C9 and C10.</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From the 1 Oct scan: Visa Infinite pays legal fees and advances bail</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as a result of false arrest or wrongful detention</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on card-paid trips, up to USD 7,500 each.</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A “trip” can be a stay inside the UAE (Amex: a flight or one pre-booked night; Visa: two pre-booked nights).</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 1 Oct</w:t>
            </w:r>
            <w:r>
              <w:rPr>
                <w:sz w:val="16"/>
                <w:szCs w:val="16"/>
              </w:rPr>
              <w:br/>
            </w:r>
            <w:r>
              <w:rPr>
                <w:rFonts w:ascii="Instrument Sans" w:cs="Instrument Sans" w:eastAsia="Instrument Sans" w:hAnsi="Instrument Sans"/>
                <w:color w:val="4A5E53"/>
                <w:sz w:val="16"/>
                <w:szCs w:val="16"/>
              </w:rPr>
              <w:t xml:space="preserve">Not re-opened on 2 Oct</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(PDF)</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C16</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Lyra and other EAPs: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Their legal lines are booked civil-law calls; HR will say "our EAP covers legal"</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Partner or competitor</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Lyra Wellbeing</w:t>
            </w:r>
            <w:r>
              <w:rPr>
                <w:rFonts w:ascii="Instrument Sans" w:cs="Instrument Sans" w:eastAsia="Instrument Sans" w:hAnsi="Instrument Sans"/>
                <w:color w:val="13261D"/>
                <w:sz w:val="16"/>
                <w:szCs w:val="16"/>
              </w:rPr>
              <w:t xml:space="preserve">, Our services</w:t>
            </w:r>
            <w:r>
              <w:rPr>
                <w:sz w:val="16"/>
                <w:szCs w:val="16"/>
              </w:rPr>
              <w:br/>
            </w:r>
            <w:hyperlink w:history="1" r:id="rIdmvdnifxjl6amhuemw90qb">
              <w:r>
                <w:rPr>
                  <w:rFonts w:ascii="Instrument Sans" w:cs="Instrument Sans" w:eastAsia="Instrument Sans" w:hAnsi="Instrument Sans"/>
                  <w:color w:val="0B7549"/>
                  <w:sz w:val="15"/>
                  <w:szCs w:val="15"/>
                  <w:u w:val="single"/>
                </w:rPr>
                <w:t xml:space="preserve">https://lyrawellbeing.ae/our-services/</w:t>
              </w:r>
            </w:hyperlink>
            <w:r>
              <w:rPr>
                <w:sz w:val="16"/>
                <w:szCs w:val="16"/>
              </w:rPr>
              <w:br/>
            </w:r>
            <w:r>
              <w:rPr>
                <w:rFonts w:ascii="Instrument Sans SemiBold" w:cs="Instrument Sans SemiBold" w:eastAsia="Instrument Sans SemiBold" w:hAnsi="Instrument Sans SemiBold"/>
                <w:color w:val="13261D"/>
                <w:sz w:val="16"/>
                <w:szCs w:val="16"/>
              </w:rPr>
              <w:t xml:space="preserve">MetLife UAE</w:t>
            </w:r>
            <w:r>
              <w:rPr>
                <w:rFonts w:ascii="Instrument Sans" w:cs="Instrument Sans" w:eastAsia="Instrument Sans" w:hAnsi="Instrument Sans"/>
                <w:color w:val="13261D"/>
                <w:sz w:val="16"/>
                <w:szCs w:val="16"/>
              </w:rPr>
              <w:t xml:space="preserve">, EAP for employees</w:t>
            </w:r>
            <w:r>
              <w:rPr>
                <w:sz w:val="16"/>
                <w:szCs w:val="16"/>
              </w:rPr>
              <w:br/>
            </w:r>
            <w:hyperlink w:history="1" r:id="rIdjki_f8avr8yasmfpyhkpc">
              <w:r>
                <w:rPr>
                  <w:rFonts w:ascii="Instrument Sans" w:cs="Instrument Sans" w:eastAsia="Instrument Sans" w:hAnsi="Instrument Sans"/>
                  <w:color w:val="0B7549"/>
                  <w:sz w:val="15"/>
                  <w:szCs w:val="15"/>
                  <w:u w:val="single"/>
                </w:rPr>
                <w:t xml:space="preserve">https://www.metlife.ae/en/WellnessHub/eapemployee/</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Lyra:</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Our lawyers and independent financial consultants offer expert guidance on practical legal and financial issues such as: Tenancy issues Consumer rights Wills and inheritance Marriage/divorce/separation Debt management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MetLife (1 Oct scan): requests go to partner firms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to set an appointment for a 30-minute phone discussion</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Lyra re-checked on 2 Oct; the MetLife quote is from the 1 Oct scan.</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3</w:t>
      </w:r>
      <w:r>
        <w:rPr>
          <w:rFonts w:ascii="Bricolage Grotesque SemiBold" w:cs="Bricolage Grotesque SemiBold" w:eastAsia="Bricolage Grotesque SemiBold" w:hAnsi="Bricolage Grotesque SemiBold"/>
          <w:color w:val="13261D"/>
          <w:sz w:val="28"/>
          <w:szCs w:val="28"/>
        </w:rPr>
        <w:t xml:space="preserve">   Law and regulation</w:t>
      </w:r>
    </w:p>
    <w:p>
      <w:pPr>
        <w:keepNext/>
        <w:spacing w:after="120" w:before="0" w:line="250" w:lineRule="auto"/>
      </w:pPr>
      <w:r>
        <w:rPr>
          <w:rFonts w:ascii="Instrument Sans" w:cs="Instrument Sans" w:eastAsia="Instrument Sans" w:hAnsi="Instrument Sans"/>
          <w:color w:val="4A5E53"/>
          <w:sz w:val="18"/>
          <w:szCs w:val="18"/>
        </w:rPr>
        <w:t xml:space="preserve">Federal Decree-Law 34 of 2022 on the legal profession (Ministry of Justice copy) and the Central Bank’s licensing law.</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UAE law fines anyone who, for a commission, brings clients to a lawyer (Federal Decree-Law 34 of 2022, Art. 101)</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“fine AED 20,000 to 200,000; prison for repeat offences”.</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legal referral row (comment); s8 SWOT and “Legal checks” (Jon edition)</w:t>
            </w:r>
            <w:r>
              <w:rPr>
                <w:sz w:val="16"/>
                <w:szCs w:val="16"/>
              </w:rPr>
              <w:br/>
            </w:r>
            <w:r>
              <w:rPr>
                <w:rFonts w:ascii="Instrument Sans SemiBold" w:cs="Instrument Sans SemiBold" w:eastAsia="Instrument Sans SemiBold" w:hAnsi="Instrument Sans SemiBold"/>
                <w:color w:val="13261D"/>
                <w:sz w:val="16"/>
                <w:szCs w:val="16"/>
              </w:rPr>
              <w:t xml:space="preserve">Teaser</w:t>
            </w:r>
            <w:r>
              <w:rPr>
                <w:rFonts w:ascii="Instrument Sans" w:cs="Instrument Sans" w:eastAsia="Instrument Sans" w:hAnsi="Instrument Sans"/>
                <w:color w:val="13261D"/>
                <w:sz w:val="16"/>
                <w:szCs w:val="16"/>
              </w:rPr>
              <w:t xml:space="preserve">, comment on legal referral</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The legal referral line</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UAE Ministry of Justice</w:t>
            </w:r>
            <w:r>
              <w:rPr>
                <w:rFonts w:ascii="Instrument Sans" w:cs="Instrument Sans" w:eastAsia="Instrument Sans" w:hAnsi="Instrument Sans"/>
                <w:color w:val="13261D"/>
                <w:sz w:val="16"/>
                <w:szCs w:val="16"/>
              </w:rPr>
              <w:t xml:space="preserve">, moj.gov.ae: Federal Decree-Law No. 34 of 2022 (English PDF)</w:t>
            </w:r>
            <w:r>
              <w:rPr>
                <w:sz w:val="16"/>
                <w:szCs w:val="16"/>
              </w:rPr>
              <w:br/>
            </w:r>
            <w:hyperlink w:history="1" r:id="rIdkutxhjvvtlju9fmgtjn4r">
              <w:r>
                <w:rPr>
                  <w:rFonts w:ascii="Instrument Sans" w:cs="Instrument Sans" w:eastAsia="Instrument Sans" w:hAnsi="Instrument Sans"/>
                  <w:color w:val="0B7549"/>
                  <w:sz w:val="15"/>
                  <w:szCs w:val="15"/>
                  <w:u w:val="single"/>
                </w:rPr>
                <w:t xml:space="preserve">https://www.moj.gov.ae/assets/d984aaa6/federal-decree-law-no-34-of-2022-regulating-the-legal-profession-and-legal-consultation-638441976591014059.aspx</w:t>
              </w:r>
            </w:hyperlink>
            <w:r>
              <w:rPr>
                <w:sz w:val="16"/>
                <w:szCs w:val="16"/>
              </w:rPr>
              <w:br/>
            </w:r>
            <w:r>
              <w:rPr>
                <w:rFonts w:ascii="Instrument Sans" w:cs="Instrument Sans" w:eastAsia="Instrument Sans" w:hAnsi="Instrument Sans"/>
                <w:color w:val="13261D"/>
                <w:sz w:val="16"/>
                <w:szCs w:val="16"/>
              </w:rPr>
              <w:t xml:space="preserve">Federal Decree-Law No. 34 of 2022 Regulating the Legal Profession and Legal Consultation. Issued 3 Oct 2022, in force 2 Jan 2023.</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Art. 101:</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 fine penalty of not less than AED (20,000) twenty thousand dirhams, and not exceeding AED (200,000) two hundred thousand dirhams, shall be imposed on any person who attempts, in consideration of a commission, to entice clients in favor of any lawyer.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Imprisonment sentence for a term of not less than one year shall be imposed in the event of recidivism.</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For accuracy: “repeat offences” is “recidivism”, with at least one year in prison.</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 (the .aspx address serves a 43-page PDF)</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Article 45(1)(h) also bars lawyers from promotion "by intermediaries".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legal referral row (comment); s8 (comment, Jon edition)</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UAE Ministry of Justice</w:t>
            </w:r>
            <w:r>
              <w:rPr>
                <w:rFonts w:ascii="Instrument Sans" w:cs="Instrument Sans" w:eastAsia="Instrument Sans" w:hAnsi="Instrument Sans"/>
                <w:color w:val="13261D"/>
                <w:sz w:val="16"/>
                <w:szCs w:val="16"/>
              </w:rPr>
              <w:t xml:space="preserve">, moj.gov.ae: Federal Decree-Law No. 34 of 2022 (English PDF)</w:t>
            </w:r>
            <w:r>
              <w:rPr>
                <w:sz w:val="16"/>
                <w:szCs w:val="16"/>
              </w:rPr>
              <w:br/>
            </w:r>
            <w:hyperlink w:history="1" r:id="rIdphdgo6_yehzkplt5cgdoa">
              <w:r>
                <w:rPr>
                  <w:rFonts w:ascii="Instrument Sans" w:cs="Instrument Sans" w:eastAsia="Instrument Sans" w:hAnsi="Instrument Sans"/>
                  <w:color w:val="0B7549"/>
                  <w:sz w:val="15"/>
                  <w:szCs w:val="15"/>
                  <w:u w:val="single"/>
                </w:rPr>
                <w:t xml:space="preserve">https://www.moj.gov.ae/assets/d984aaa6/federal-decree-law-no-34-of-2022-regulating-the-legal-profession-and-legal-consultation-638441976591014059.aspx</w:t>
              </w:r>
            </w:hyperlink>
            <w:r>
              <w:rPr>
                <w:sz w:val="16"/>
                <w:szCs w:val="16"/>
              </w:rPr>
              <w:br/>
            </w:r>
            <w:r>
              <w:rPr>
                <w:rFonts w:ascii="Instrument Sans" w:cs="Instrument Sans" w:eastAsia="Instrument Sans" w:hAnsi="Instrument Sans"/>
                <w:color w:val="13261D"/>
                <w:sz w:val="16"/>
                <w:szCs w:val="16"/>
              </w:rPr>
              <w:t xml:space="preserve">As L1.</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Lawyer shall be prohibited from: ... (h) Promoting, or attempting to promote, himself / herself in any manner that goes against the ethics of the profession, by any means of promotion or enticement by intermediaries.</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Art. 45(2) makes this a disciplinary matter for the lawyer; Art. 101 is the criminal offence.</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Only licensed lawyers may advise or represent people before the police and prosecutors (Art. 6), so our response team coordinates and the firm advises.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Legal checks before launch (both editions)</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UAE Ministry of Justice</w:t>
            </w:r>
            <w:r>
              <w:rPr>
                <w:rFonts w:ascii="Instrument Sans" w:cs="Instrument Sans" w:eastAsia="Instrument Sans" w:hAnsi="Instrument Sans"/>
                <w:color w:val="13261D"/>
                <w:sz w:val="16"/>
                <w:szCs w:val="16"/>
              </w:rPr>
              <w:t xml:space="preserve">, moj.gov.ae: Federal Decree-Law No. 34 of 2022 (English PDF)</w:t>
            </w:r>
            <w:r>
              <w:rPr>
                <w:sz w:val="16"/>
                <w:szCs w:val="16"/>
              </w:rPr>
              <w:br/>
            </w:r>
            <w:hyperlink w:history="1" r:id="rIdoedfjs9fuzscvuy39yn7s">
              <w:r>
                <w:rPr>
                  <w:rFonts w:ascii="Instrument Sans" w:cs="Instrument Sans" w:eastAsia="Instrument Sans" w:hAnsi="Instrument Sans"/>
                  <w:color w:val="0B7549"/>
                  <w:sz w:val="15"/>
                  <w:szCs w:val="15"/>
                  <w:u w:val="single"/>
                </w:rPr>
                <w:t xml:space="preserve">https://www.moj.gov.ae/assets/d984aaa6/federal-decree-law-no-34-of-2022-regulating-the-legal-profession-and-legal-consultation-638441976591014059.aspx</w:t>
              </w:r>
            </w:hyperlink>
            <w:r>
              <w:rPr>
                <w:sz w:val="16"/>
                <w:szCs w:val="16"/>
              </w:rPr>
              <w:br/>
            </w:r>
            <w:r>
              <w:rPr>
                <w:rFonts w:ascii="Instrument Sans" w:cs="Instrument Sans" w:eastAsia="Instrument Sans" w:hAnsi="Instrument Sans"/>
                <w:color w:val="13261D"/>
                <w:sz w:val="16"/>
                <w:szCs w:val="16"/>
              </w:rPr>
              <w:t xml:space="preserve">Arts. 6 and 69.</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Art. 6:</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Only lawyers duly licensed in the State shall practice the legal profession ...</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 representing people before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courts, the public prosecution, ... the investigation bodies and the police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(b)</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Giving legal opinion and advice</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Art. 69(1): licensed legal consultants (UAE nationals) may give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legal opinion, advice and consultation</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Licensed legal consultants may also advise (Art. 69). Safer: “Only licensed lawyers may represent people before the police and prosecutors, and only licensed lawyers or legal consultants may advise (Arts. 6 and 69).”</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L4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Earning commission on the add-on, or promoting it in the app, may need a licence or a licensed intermediary.</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the Central Bank’s licensed activities “include promoting and marketing insurance (Decree-Law 6/2025, Art. 61); not yet checked at source”. SWOT: “Earning insurance commission may need a Central Bank licence.”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s8, Legal checks (comment) and SWOT threats</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Competitor scan</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Central Bank of the UAE rulebook</w:t>
            </w:r>
            <w:r>
              <w:rPr>
                <w:rFonts w:ascii="Instrument Sans" w:cs="Instrument Sans" w:eastAsia="Instrument Sans" w:hAnsi="Instrument Sans"/>
                <w:color w:val="13261D"/>
                <w:sz w:val="16"/>
                <w:szCs w:val="16"/>
              </w:rPr>
              <w:t xml:space="preserve">, rulebook.centralbank.ae: Art. 61</w:t>
            </w:r>
            <w:r>
              <w:rPr>
                <w:sz w:val="16"/>
                <w:szCs w:val="16"/>
              </w:rPr>
              <w:br/>
            </w:r>
            <w:hyperlink w:history="1" r:id="rIdrkjaspgk7o5fkkuj-emrv">
              <w:r>
                <w:rPr>
                  <w:rFonts w:ascii="Instrument Sans" w:cs="Instrument Sans" w:eastAsia="Instrument Sans" w:hAnsi="Instrument Sans"/>
                  <w:color w:val="0B7549"/>
                  <w:sz w:val="15"/>
                  <w:szCs w:val="15"/>
                  <w:u w:val="single"/>
                </w:rPr>
                <w:t xml:space="preserve">https://rulebook.centralbank.ae/en/rulebook/article-61-licensed-financial-activities</w:t>
              </w:r>
            </w:hyperlink>
            <w:r>
              <w:rPr>
                <w:sz w:val="16"/>
                <w:szCs w:val="16"/>
              </w:rPr>
              <w:br/>
            </w:r>
            <w:r>
              <w:rPr>
                <w:rFonts w:ascii="Instrument Sans" w:cs="Instrument Sans" w:eastAsia="Instrument Sans" w:hAnsi="Instrument Sans"/>
                <w:color w:val="13261D"/>
                <w:sz w:val="16"/>
                <w:szCs w:val="16"/>
              </w:rPr>
              <w:t xml:space="preserve">Federal Decree-Law No. (6) of 2025 Regarding the Central Bank, Regulation of Financial Institutions and Activities, and Insurance Business. In force from 16 Sep 2025.</w:t>
            </w:r>
            <w:r>
              <w:rPr>
                <w:sz w:val="16"/>
                <w:szCs w:val="16"/>
              </w:rPr>
              <w:br/>
            </w:r>
            <w:r>
              <w:rPr>
                <w:rFonts w:ascii="Instrument Sans" w:cs="Instrument Sans" w:eastAsia="Instrument Sans" w:hAnsi="Instrument Sans"/>
                <w:color w:val="13261D"/>
                <w:sz w:val="16"/>
                <w:szCs w:val="16"/>
              </w:rPr>
              <w:t xml:space="preserve">rulebook.centralbank.ae: Art. 1 definitions</w:t>
            </w:r>
            <w:r>
              <w:rPr>
                <w:sz w:val="16"/>
                <w:szCs w:val="16"/>
              </w:rPr>
              <w:br/>
            </w:r>
            <w:hyperlink w:history="1" r:id="rIdnczd4ntv04r3gxtrjufyj">
              <w:r>
                <w:rPr>
                  <w:rFonts w:ascii="Instrument Sans" w:cs="Instrument Sans" w:eastAsia="Instrument Sans" w:hAnsi="Instrument Sans"/>
                  <w:color w:val="0B7549"/>
                  <w:sz w:val="15"/>
                  <w:szCs w:val="15"/>
                  <w:u w:val="single"/>
                </w:rPr>
                <w:t xml:space="preserve">https://rulebook.centralbank.ae/en/rulebook/article-1-definitions-73</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Art. 61(1): activities</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subject to the Central Bank licensing</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include (h)</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Arranging, promoting, marketing for Licensed Financial Activities.</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and (j)</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Providing insurance, reinsurance, and Insurance-Related Professions business and services</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9A3412"/>
                <w:sz w:val="16"/>
                <w:szCs w:val="16"/>
              </w:rPr>
              <w:t xml:space="preserve">Note:</w:t>
            </w:r>
            <w:r>
              <w:rPr>
                <w:rFonts w:ascii="Instrument Sans" w:cs="Instrument Sans" w:eastAsia="Instrument Sans" w:hAnsi="Instrument Sans"/>
                <w:color w:val="9A3412"/>
                <w:sz w:val="16"/>
                <w:szCs w:val="16"/>
              </w:rPr>
              <w:t xml:space="preserve"> Now checked at source. The law does not say “marketing insurance” in one place: it is (h) read with (j). Whether ELA is caught is a question for counsel.</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9A3412"/>
                <w:sz w:val="16"/>
                <w:szCs w:val="16"/>
              </w:rPr>
              <w:t xml:space="preserve">Partly</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4</w:t>
      </w:r>
      <w:r>
        <w:rPr>
          <w:rFonts w:ascii="Bricolage Grotesque SemiBold" w:cs="Bricolage Grotesque SemiBold" w:eastAsia="Bricolage Grotesque SemiBold" w:hAnsi="Bricolage Grotesque SemiBold"/>
          <w:color w:val="13261D"/>
          <w:sz w:val="28"/>
          <w:szCs w:val="28"/>
        </w:rPr>
        <w:t xml:space="preserve">   Apple</w:t>
      </w:r>
    </w:p>
    <w:p>
      <w:pPr>
        <w:keepNext/>
        <w:spacing w:after="120" w:before="0" w:line="250" w:lineRule="auto"/>
      </w:pPr>
      <w:r>
        <w:rPr>
          <w:rFonts w:ascii="Instrument Sans" w:cs="Instrument Sans" w:eastAsia="Instrument Sans" w:hAnsi="Instrument Sans"/>
          <w:color w:val="4A5E53"/>
          <w:sz w:val="18"/>
          <w:szCs w:val="18"/>
        </w:rPr>
        <w:t xml:space="preserve">The App Store commission behind the plan’s net-per-member table.</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Apple keeps 30% of a member's first year and 15% from their second year.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“Apple keeps 30% until that member has a year of paid service, then 15%, whatever our size.”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What a member is worth (note and comment)</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Numbers to fix</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Apple Developer</w:t>
            </w:r>
            <w:r>
              <w:rPr>
                <w:sz w:val="16"/>
                <w:szCs w:val="16"/>
              </w:rPr>
              <w:br/>
            </w:r>
            <w:hyperlink w:history="1" r:id="rIdkaopr280cnopgryd_xtga">
              <w:r>
                <w:rPr>
                  <w:rFonts w:ascii="Instrument Sans" w:cs="Instrument Sans" w:eastAsia="Instrument Sans" w:hAnsi="Instrument Sans"/>
                  <w:color w:val="0B7549"/>
                  <w:sz w:val="15"/>
                  <w:szCs w:val="15"/>
                  <w:u w:val="single"/>
                </w:rPr>
                <w:t xml:space="preserve">https://developer.apple.com/app-store/subscriptions/</w:t>
              </w:r>
            </w:hyperlink>
            <w:r>
              <w:rPr>
                <w:sz w:val="16"/>
                <w:szCs w:val="16"/>
              </w:rPr>
              <w:br/>
            </w:r>
            <w:r>
              <w:rPr>
                <w:rFonts w:ascii="Instrument Sans" w:cs="Instrument Sans" w:eastAsia="Instrument Sans" w:hAnsi="Instrument Sans"/>
                <w:color w:val="13261D"/>
                <w:sz w:val="16"/>
                <w:szCs w:val="16"/>
              </w:rPr>
              <w:t xml:space="preserve">Auto-renewable subscriptions.</w:t>
            </w:r>
            <w:r>
              <w:rPr>
                <w:sz w:val="16"/>
                <w:szCs w:val="16"/>
              </w:rPr>
              <w:br/>
            </w:r>
            <w:r>
              <w:rPr>
                <w:rFonts w:ascii="Instrument Sans SemiBold" w:cs="Instrument Sans SemiBold" w:eastAsia="Instrument Sans SemiBold" w:hAnsi="Instrument Sans SemiBold"/>
                <w:color w:val="13261D"/>
                <w:sz w:val="16"/>
                <w:szCs w:val="16"/>
              </w:rPr>
              <w:t xml:space="preserve">Apple Developer Program License Agreement</w:t>
            </w:r>
            <w:r>
              <w:rPr>
                <w:rFonts w:ascii="Instrument Sans" w:cs="Instrument Sans" w:eastAsia="Instrument Sans" w:hAnsi="Instrument Sans"/>
                <w:color w:val="13261D"/>
                <w:sz w:val="16"/>
                <w:szCs w:val="16"/>
              </w:rPr>
              <w:t xml:space="preserve">, developer.apple.com: licence agreement, Schedule 2</w:t>
            </w:r>
            <w:r>
              <w:rPr>
                <w:sz w:val="16"/>
                <w:szCs w:val="16"/>
              </w:rPr>
              <w:br/>
            </w:r>
            <w:hyperlink w:history="1" r:id="rIdbn7x_qqe2grcbtb3az2hy">
              <w:r>
                <w:rPr>
                  <w:rFonts w:ascii="Instrument Sans" w:cs="Instrument Sans" w:eastAsia="Instrument Sans" w:hAnsi="Instrument Sans"/>
                  <w:color w:val="0B7549"/>
                  <w:sz w:val="15"/>
                  <w:szCs w:val="15"/>
                  <w:u w:val="single"/>
                </w:rPr>
                <w:t xml:space="preserve">https://developer.apple.com/support/terms/apple-developer-program-license-agreement/</w:t>
              </w:r>
            </w:hyperlink>
            <w:r>
              <w:rPr>
                <w:sz w:val="16"/>
                <w:szCs w:val="16"/>
              </w:rPr>
              <w:br/>
            </w:r>
            <w:r>
              <w:rPr>
                <w:rFonts w:ascii="Instrument Sans" w:cs="Instrument Sans" w:eastAsia="Instrument Sans" w:hAnsi="Instrument Sans"/>
                <w:color w:val="13261D"/>
                <w:sz w:val="16"/>
                <w:szCs w:val="16"/>
              </w:rPr>
              <w:t xml:space="preserve">Schedule 2, s3.4(a); Schedules 2 and 3 last updated 17 Dec 2025.</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During a subscriber's first year of service, you receive 70% of the subscription price at each billing cycle, minus applicable taxes. After a subscriber accumulates one year of paid service, your net revenue increases to 85%</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Schedule 2: a commission of</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thirty percent (30%)</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color w:val="13261D"/>
                <w:sz w:val="16"/>
                <w:szCs w:val="16"/>
              </w:rPr>
              <w:t xml:space="preserve">, then</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fifteen percent (15%) ... for each subsequent renewal</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year counts per subscription group; free trials do not count.</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Its Small Business Program charges 15% from day one, but only while our App Store sales stay under USD 1 million a year.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Comment: “only while our proceeds stay under USD 1 million in a calendar year (and the year before)”.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What a member is worth (note and comment)</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Numbers to fix</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Apple Developer</w:t>
            </w:r>
            <w:r>
              <w:rPr>
                <w:sz w:val="16"/>
                <w:szCs w:val="16"/>
              </w:rPr>
              <w:br/>
            </w:r>
            <w:hyperlink w:history="1" r:id="rIdvlbulilnu2l9limpkzsnw">
              <w:r>
                <w:rPr>
                  <w:rFonts w:ascii="Instrument Sans" w:cs="Instrument Sans" w:eastAsia="Instrument Sans" w:hAnsi="Instrument Sans"/>
                  <w:color w:val="0B7549"/>
                  <w:sz w:val="15"/>
                  <w:szCs w:val="15"/>
                  <w:u w:val="single"/>
                </w:rPr>
                <w:t xml:space="preserve">https://developer.apple.com/app-store/small-business-program/</w:t>
              </w:r>
            </w:hyperlink>
            <w:r>
              <w:rPr>
                <w:sz w:val="16"/>
                <w:szCs w:val="16"/>
              </w:rPr>
              <w:br/>
            </w:r>
            <w:r>
              <w:rPr>
                <w:rFonts w:ascii="Instrument Sans" w:cs="Instrument Sans" w:eastAsia="Instrument Sans" w:hAnsi="Instrument Sans"/>
                <w:color w:val="13261D"/>
                <w:sz w:val="16"/>
                <w:szCs w:val="16"/>
              </w:rPr>
              <w:t xml:space="preserve">App Store Small Business Program.</w:t>
            </w:r>
            <w:r>
              <w:rPr>
                <w:sz w:val="16"/>
                <w:szCs w:val="16"/>
              </w:rPr>
              <w:br/>
            </w:r>
            <w:r>
              <w:rPr>
                <w:rFonts w:ascii="Instrument Sans SemiBold" w:cs="Instrument Sans SemiBold" w:eastAsia="Instrument Sans SemiBold" w:hAnsi="Instrument Sans SemiBold"/>
                <w:color w:val="13261D"/>
                <w:sz w:val="16"/>
                <w:szCs w:val="16"/>
              </w:rPr>
              <w:t xml:space="preserve">Apple Developer Program License Agreement</w:t>
            </w:r>
            <w:r>
              <w:rPr>
                <w:rFonts w:ascii="Instrument Sans" w:cs="Instrument Sans" w:eastAsia="Instrument Sans" w:hAnsi="Instrument Sans"/>
                <w:color w:val="13261D"/>
                <w:sz w:val="16"/>
                <w:szCs w:val="16"/>
              </w:rPr>
              <w:t xml:space="preserve">, developer.apple.com: licence agreement, Schedule 2</w:t>
            </w:r>
            <w:r>
              <w:rPr>
                <w:sz w:val="16"/>
                <w:szCs w:val="16"/>
              </w:rPr>
              <w:br/>
            </w:r>
            <w:hyperlink w:history="1" r:id="rIdiljy0o_qni4u6scsss4n2">
              <w:r>
                <w:rPr>
                  <w:rFonts w:ascii="Instrument Sans" w:cs="Instrument Sans" w:eastAsia="Instrument Sans" w:hAnsi="Instrument Sans"/>
                  <w:color w:val="0B7549"/>
                  <w:sz w:val="15"/>
                  <w:szCs w:val="15"/>
                  <w:u w:val="single"/>
                </w:rPr>
                <w:t xml:space="preserve">https://developer.apple.com/support/terms/apple-developer-program-license-agreement/</w:t>
              </w:r>
            </w:hyperlink>
            <w:r>
              <w:rPr>
                <w:sz w:val="16"/>
                <w:szCs w:val="16"/>
              </w:rPr>
              <w:br/>
            </w:r>
            <w:r>
              <w:rPr>
                <w:rFonts w:ascii="Instrument Sans" w:cs="Instrument Sans" w:eastAsia="Instrument Sans" w:hAnsi="Instrument Sans"/>
                <w:color w:val="13261D"/>
                <w:sz w:val="16"/>
                <w:szCs w:val="16"/>
              </w:rPr>
              <w:t xml:space="preserve">Schedule 2, s3.4(b).</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 reduced commission rate of 15% on paid apps and Apple In-App Purchases</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Existing developers who made up to 1 million USD in proceeds in the prior calendar year ... can qualify</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If a participating developer surpasses the 1 million USD threshold in the current calendar year, the standard commission rate will apply to future sales.</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Wording: Apple counts proceeds (after its commission and taxes), not sales, as the comment says. Enrolment is required.</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Past USD 1 million, which is about 6,000 annual members</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(comment)</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Numbers to fix</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Our arithmetic on A1, A2, A4 and the peg (F3).</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USD 1,000,000 of proceeds ÷ AED 607 net per annual member at 15% (USD 165) = about 6,050 members.</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Checks out.</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Derived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applicable</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Net per member per year in AED, after 5% UAE VAT and Apple's commission.</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Weekly 869 / 1,056; monthly 640 / 777; annual 500 / 607. Teaser: “AED 500 a year”.</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s3 table; s5</w:t>
            </w:r>
            <w:r>
              <w:rPr>
                <w:sz w:val="16"/>
                <w:szCs w:val="16"/>
              </w:rPr>
              <w:br/>
            </w:r>
            <w:r>
              <w:rPr>
                <w:rFonts w:ascii="Instrument Sans SemiBold" w:cs="Instrument Sans SemiBold" w:eastAsia="Instrument Sans SemiBold" w:hAnsi="Instrument Sans SemiBold"/>
                <w:color w:val="13261D"/>
                <w:sz w:val="16"/>
                <w:szCs w:val="16"/>
              </w:rPr>
              <w:t xml:space="preserve">Teaser</w:t>
            </w:r>
            <w:r>
              <w:rPr>
                <w:rFonts w:ascii="Instrument Sans" w:cs="Instrument Sans" w:eastAsia="Instrument Sans" w:hAnsi="Instrument Sans"/>
                <w:color w:val="13261D"/>
                <w:sz w:val="16"/>
                <w:szCs w:val="16"/>
              </w:rPr>
              <w:t xml:space="preserve">, Year one (comment)</w:t>
            </w:r>
            <w:r>
              <w:rPr>
                <w:sz w:val="16"/>
                <w:szCs w:val="16"/>
              </w:rPr>
              <w:br/>
            </w: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Numbers to fix</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UAE Government portal</w:t>
            </w:r>
            <w:r>
              <w:rPr>
                <w:rFonts w:ascii="Instrument Sans" w:cs="Instrument Sans" w:eastAsia="Instrument Sans" w:hAnsi="Instrument Sans"/>
                <w:color w:val="13261D"/>
                <w:sz w:val="16"/>
                <w:szCs w:val="16"/>
              </w:rPr>
              <w:t xml:space="preserve">, u.ae: Value Added Tax</w:t>
            </w:r>
            <w:r>
              <w:rPr>
                <w:sz w:val="16"/>
                <w:szCs w:val="16"/>
              </w:rPr>
              <w:br/>
            </w:r>
            <w:hyperlink w:history="1" r:id="rIdafpkyaofjknbyuhxaghev">
              <w:r>
                <w:rPr>
                  <w:rFonts w:ascii="Instrument Sans" w:cs="Instrument Sans" w:eastAsia="Instrument Sans" w:hAnsi="Instrument Sans"/>
                  <w:color w:val="0B7549"/>
                  <w:sz w:val="15"/>
                  <w:szCs w:val="15"/>
                  <w:u w:val="single"/>
                </w:rPr>
                <w:t xml:space="preserve">https://u.ae/en/information-and-services/finance-and-investment/taxation/vat/valueaddedtaxvat</w:t>
              </w:r>
            </w:hyperlink>
            <w:r>
              <w:rPr>
                <w:sz w:val="16"/>
                <w:szCs w:val="16"/>
              </w:rPr>
              <w:br/>
            </w:r>
            <w:r>
              <w:rPr>
                <w:rFonts w:ascii="Instrument Sans SemiBold" w:cs="Instrument Sans SemiBold" w:eastAsia="Instrument Sans SemiBold" w:hAnsi="Instrument Sans SemiBold"/>
                <w:color w:val="13261D"/>
                <w:sz w:val="16"/>
                <w:szCs w:val="16"/>
              </w:rPr>
              <w:t xml:space="preserve">UAE Ministry of Finance</w:t>
            </w:r>
            <w:r>
              <w:rPr>
                <w:rFonts w:ascii="Instrument Sans" w:cs="Instrument Sans" w:eastAsia="Instrument Sans" w:hAnsi="Instrument Sans"/>
                <w:color w:val="13261D"/>
                <w:sz w:val="16"/>
                <w:szCs w:val="16"/>
              </w:rPr>
              <w:t xml:space="preserve">, mof.gov.ae: VAT</w:t>
            </w:r>
            <w:r>
              <w:rPr>
                <w:sz w:val="16"/>
                <w:szCs w:val="16"/>
              </w:rPr>
              <w:br/>
            </w:r>
            <w:hyperlink w:history="1" r:id="rIdlpzj7ouf5aarpfsh4h3ha">
              <w:r>
                <w:rPr>
                  <w:rFonts w:ascii="Instrument Sans" w:cs="Instrument Sans" w:eastAsia="Instrument Sans" w:hAnsi="Instrument Sans"/>
                  <w:color w:val="0B7549"/>
                  <w:sz w:val="15"/>
                  <w:szCs w:val="15"/>
                  <w:u w:val="single"/>
                </w:rPr>
                <w:t xml:space="preserve">https://mof.gov.ae/en/public-finance/tax/vat/</w:t>
              </w:r>
            </w:hyperlink>
            <w:r>
              <w:rPr>
                <w:sz w:val="16"/>
                <w:szCs w:val="16"/>
              </w:rPr>
              <w:br/>
            </w:r>
            <w:r>
              <w:rPr>
                <w:rFonts w:ascii="Instrument Sans SemiBold" w:cs="Instrument Sans SemiBold" w:eastAsia="Instrument Sans SemiBold" w:hAnsi="Instrument Sans SemiBold"/>
                <w:color w:val="13261D"/>
                <w:sz w:val="16"/>
                <w:szCs w:val="16"/>
              </w:rPr>
              <w:t xml:space="preserve">Apple Developer Program License Agreement</w:t>
            </w:r>
            <w:r>
              <w:rPr>
                <w:rFonts w:ascii="Instrument Sans" w:cs="Instrument Sans" w:eastAsia="Instrument Sans" w:hAnsi="Instrument Sans"/>
                <w:color w:val="13261D"/>
                <w:sz w:val="16"/>
                <w:szCs w:val="16"/>
              </w:rPr>
              <w:t xml:space="preserve">, developer.apple.com: licence agreement, Schedule 2</w:t>
            </w:r>
            <w:r>
              <w:rPr>
                <w:sz w:val="16"/>
                <w:szCs w:val="16"/>
              </w:rPr>
              <w:br/>
            </w:r>
            <w:hyperlink w:history="1" r:id="rId9xxqqthmjpmkimjun820f">
              <w:r>
                <w:rPr>
                  <w:rFonts w:ascii="Instrument Sans" w:cs="Instrument Sans" w:eastAsia="Instrument Sans" w:hAnsi="Instrument Sans"/>
                  <w:color w:val="0B7549"/>
                  <w:sz w:val="15"/>
                  <w:szCs w:val="15"/>
                  <w:u w:val="single"/>
                </w:rPr>
                <w:t xml:space="preserve">https://developer.apple.com/support/terms/apple-developer-program-license-agreement/</w:t>
              </w:r>
            </w:hyperlink>
            <w:r>
              <w:rPr>
                <w:sz w:val="16"/>
                <w:szCs w:val="16"/>
              </w:rPr>
              <w:br/>
            </w:r>
            <w:r>
              <w:rPr>
                <w:rFonts w:ascii="Instrument Sans" w:cs="Instrument Sans" w:eastAsia="Instrument Sans" w:hAnsi="Instrument Sans"/>
                <w:color w:val="13261D"/>
                <w:sz w:val="16"/>
                <w:szCs w:val="16"/>
              </w:rPr>
              <w:t xml:space="preserve">Schedule 2, s3.4(a).</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rate of VAT is 5 per cent.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Apple: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prices payable by End-Users shall be net of any and all taxes collected</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Annual: 749.99 ÷ 1.05 × 0.70 = 500; × 0.85 = 607.</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derived figures check out.</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 (redirects to the VAT page)</w:t>
            </w:r>
            <w:r>
              <w:rPr>
                <w:sz w:val="16"/>
                <w:szCs w:val="16"/>
              </w:rPr>
              <w:br/>
            </w:r>
            <w:r>
              <w:rPr>
                <w:rFonts w:ascii="Instrument Sans" w:cs="Instrument Sans" w:eastAsia="Instrument Sans" w:hAnsi="Instrument Sans"/>
                <w:color w:val="13261D"/>
                <w:sz w:val="16"/>
                <w:szCs w:val="16"/>
              </w:rPr>
              <w:t xml:space="preserve">200</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5</w:t>
      </w:r>
      <w:r>
        <w:rPr>
          <w:rFonts w:ascii="Bricolage Grotesque SemiBold" w:cs="Bricolage Grotesque SemiBold" w:eastAsia="Bricolage Grotesque SemiBold" w:hAnsi="Bricolage Grotesque SemiBold"/>
          <w:color w:val="13261D"/>
          <w:sz w:val="28"/>
          <w:szCs w:val="28"/>
        </w:rPr>
        <w:t xml:space="preserve">   Exchange rates</w:t>
      </w:r>
    </w:p>
    <w:p>
      <w:pPr>
        <w:keepNext/>
        <w:spacing w:after="120" w:before="0" w:line="250" w:lineRule="auto"/>
      </w:pPr>
      <w:r>
        <w:rPr>
          <w:rFonts w:ascii="Instrument Sans" w:cs="Instrument Sans" w:eastAsia="Instrument Sans" w:hAnsi="Instrument Sans"/>
          <w:color w:val="4A5E53"/>
          <w:sz w:val="18"/>
          <w:szCs w:val="18"/>
        </w:rPr>
        <w:t xml:space="preserve">ECB euro reference rates of 1 October 2026 and the dirham’s dollar peg.</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EUR 1 = USD 1.1298 (ECB reference rate, 1 October 2026). Not printed; it sits behind F4 and F5.</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s7, COO time (comment); s5, budget comments</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European Central Bank</w:t>
            </w:r>
            <w:r>
              <w:rPr>
                <w:rFonts w:ascii="Instrument Sans" w:cs="Instrument Sans" w:eastAsia="Instrument Sans" w:hAnsi="Instrument Sans"/>
                <w:color w:val="13261D"/>
                <w:sz w:val="16"/>
                <w:szCs w:val="16"/>
              </w:rPr>
              <w:t xml:space="preserve">, ecb.europa.eu: reference rates, last 90 days (XML)</w:t>
            </w:r>
            <w:r>
              <w:rPr>
                <w:sz w:val="16"/>
                <w:szCs w:val="16"/>
              </w:rPr>
              <w:br/>
            </w:r>
            <w:hyperlink w:history="1" r:id="rIdat2uwhkqx_miompl5dxb1">
              <w:r>
                <w:rPr>
                  <w:rFonts w:ascii="Instrument Sans" w:cs="Instrument Sans" w:eastAsia="Instrument Sans" w:hAnsi="Instrument Sans"/>
                  <w:color w:val="0B7549"/>
                  <w:sz w:val="15"/>
                  <w:szCs w:val="15"/>
                  <w:u w:val="single"/>
                </w:rPr>
                <w:t xml:space="preserve">https://www.ecb.europa.eu/stats/eurofxref/eurofxref-hist-90d.xml</w:t>
              </w:r>
            </w:hyperlink>
            <w:r>
              <w:rPr>
                <w:sz w:val="16"/>
                <w:szCs w:val="16"/>
              </w:rPr>
              <w:br/>
            </w:r>
            <w:r>
              <w:rPr>
                <w:rFonts w:ascii="Instrument Sans" w:cs="Instrument Sans" w:eastAsia="Instrument Sans" w:hAnsi="Instrument Sans"/>
                <w:color w:val="13261D"/>
                <w:sz w:val="16"/>
                <w:szCs w:val="16"/>
              </w:rPr>
              <w:t xml:space="preserve">ecb.europa.eu: US dollar (USD) page</w:t>
            </w:r>
            <w:r>
              <w:rPr>
                <w:sz w:val="16"/>
                <w:szCs w:val="16"/>
              </w:rPr>
              <w:br/>
            </w:r>
            <w:hyperlink w:history="1" r:id="rIdnaghdfeidbgyaxo0opdfj">
              <w:r>
                <w:rPr>
                  <w:rFonts w:ascii="Instrument Sans" w:cs="Instrument Sans" w:eastAsia="Instrument Sans" w:hAnsi="Instrument Sans"/>
                  <w:color w:val="0B7549"/>
                  <w:sz w:val="15"/>
                  <w:szCs w:val="15"/>
                  <w:u w:val="single"/>
                </w:rPr>
                <w:t xml:space="preserve">https://www.ecb.europa.eu/stats/policy_and_exchange_rates/euro_reference_exchange_rates/html/eurofxref-graph-usd.en.html</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&lt;Cube time="2026-10-01"&gt;&lt;Cube currency="USD" rate="1.1298"/&gt;</w:t>
            </w:r>
            <w:r>
              <w:rPr>
                <w:rFonts w:ascii="Instrument Sans" w:cs="Instrument Sans" w:eastAsia="Instrument Sans" w:hAnsi="Instrument Sans"/>
                <w:color w:val="13261D"/>
                <w:sz w:val="16"/>
                <w:szCs w:val="16"/>
              </w:rPr>
              <w:t xml:space="preserve">”</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EUR 1 = GBP 0.85373 (ECB reference rate, 1 October 2026). Not printed; it sits behind F4.</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s7, COO time (comment)</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European Central Bank</w:t>
            </w:r>
            <w:r>
              <w:rPr>
                <w:rFonts w:ascii="Instrument Sans" w:cs="Instrument Sans" w:eastAsia="Instrument Sans" w:hAnsi="Instrument Sans"/>
                <w:color w:val="13261D"/>
                <w:sz w:val="16"/>
                <w:szCs w:val="16"/>
              </w:rPr>
              <w:t xml:space="preserve">, ecb.europa.eu: reference rates, last 90 days (XML)</w:t>
            </w:r>
            <w:r>
              <w:rPr>
                <w:sz w:val="16"/>
                <w:szCs w:val="16"/>
              </w:rPr>
              <w:br/>
            </w:r>
            <w:hyperlink w:history="1" r:id="rIdtxjofmxpxjjzwjht-u8ra">
              <w:r>
                <w:rPr>
                  <w:rFonts w:ascii="Instrument Sans" w:cs="Instrument Sans" w:eastAsia="Instrument Sans" w:hAnsi="Instrument Sans"/>
                  <w:color w:val="0B7549"/>
                  <w:sz w:val="15"/>
                  <w:szCs w:val="15"/>
                  <w:u w:val="single"/>
                </w:rPr>
                <w:t xml:space="preserve">https://www.ecb.europa.eu/stats/eurofxref/eurofxref-hist-90d.xml</w:t>
              </w:r>
            </w:hyperlink>
            <w:r>
              <w:rPr>
                <w:sz w:val="16"/>
                <w:szCs w:val="16"/>
              </w:rPr>
              <w:br/>
            </w:r>
            <w:r>
              <w:rPr>
                <w:rFonts w:ascii="Instrument Sans" w:cs="Instrument Sans" w:eastAsia="Instrument Sans" w:hAnsi="Instrument Sans"/>
                <w:color w:val="13261D"/>
                <w:sz w:val="16"/>
                <w:szCs w:val="16"/>
              </w:rPr>
              <w:t xml:space="preserve">ecb.europa.eu: pound sterling (GBP) page</w:t>
            </w:r>
            <w:r>
              <w:rPr>
                <w:sz w:val="16"/>
                <w:szCs w:val="16"/>
              </w:rPr>
              <w:br/>
            </w:r>
            <w:hyperlink w:history="1" r:id="rIdg-9ubpgs3hn386nennsbn">
              <w:r>
                <w:rPr>
                  <w:rFonts w:ascii="Instrument Sans" w:cs="Instrument Sans" w:eastAsia="Instrument Sans" w:hAnsi="Instrument Sans"/>
                  <w:color w:val="0B7549"/>
                  <w:sz w:val="15"/>
                  <w:szCs w:val="15"/>
                  <w:u w:val="single"/>
                </w:rPr>
                <w:t xml:space="preserve">https://www.ecb.europa.eu/stats/policy_and_exchange_rates/euro_reference_exchange_rates/html/eurofxref-graph-gbp.en.html</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&lt;Cube currency="GBP" rate="0.85373"/&gt;</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Same day, same file.</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F3</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dirham's dollar peg of 3.6725</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Also behind “AED 7M (about USD 1.9M)”.</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s7 (comment); s1 and s9 (USD 1.9M)</w:t>
            </w:r>
            <w:r>
              <w:rPr>
                <w:sz w:val="16"/>
                <w:szCs w:val="16"/>
              </w:rPr>
              <w:br/>
            </w:r>
            <w:r>
              <w:rPr>
                <w:rFonts w:ascii="Instrument Sans SemiBold" w:cs="Instrument Sans SemiBold" w:eastAsia="Instrument Sans SemiBold" w:hAnsi="Instrument Sans SemiBold"/>
                <w:color w:val="13261D"/>
                <w:sz w:val="16"/>
                <w:szCs w:val="16"/>
              </w:rPr>
              <w:t xml:space="preserve">Teaser</w:t>
            </w:r>
            <w:r>
              <w:rPr>
                <w:rFonts w:ascii="Instrument Sans" w:cs="Instrument Sans" w:eastAsia="Instrument Sans" w:hAnsi="Instrument Sans"/>
                <w:color w:val="13261D"/>
                <w:sz w:val="16"/>
                <w:szCs w:val="16"/>
              </w:rPr>
              <w:t xml:space="preserve">, the raise</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Central Bank of the UAE</w:t>
            </w:r>
            <w:r>
              <w:rPr>
                <w:rFonts w:ascii="Instrument Sans" w:cs="Instrument Sans" w:eastAsia="Instrument Sans" w:hAnsi="Instrument Sans"/>
                <w:color w:val="13261D"/>
                <w:sz w:val="16"/>
                <w:szCs w:val="16"/>
              </w:rPr>
              <w:t xml:space="preserve">, centralbank.ae: Annual Report 2014 (PDF)</w:t>
            </w:r>
            <w:r>
              <w:rPr>
                <w:sz w:val="16"/>
                <w:szCs w:val="16"/>
              </w:rPr>
              <w:br/>
            </w:r>
            <w:hyperlink w:history="1" r:id="rIdil8f33wivygl8aoiglcvz">
              <w:r>
                <w:rPr>
                  <w:rFonts w:ascii="Instrument Sans" w:cs="Instrument Sans" w:eastAsia="Instrument Sans" w:hAnsi="Instrument Sans"/>
                  <w:color w:val="0B7549"/>
                  <w:sz w:val="15"/>
                  <w:szCs w:val="15"/>
                  <w:u w:val="single"/>
                </w:rPr>
                <w:t xml:space="preserve">https://www.centralbank.ae/media/e44dkkze/cbuae-annual-report-2014-en.pdf</w:t>
              </w:r>
            </w:hyperlink>
            <w:r>
              <w:rPr>
                <w:sz w:val="16"/>
                <w:szCs w:val="16"/>
              </w:rPr>
              <w:br/>
            </w:r>
            <w:r>
              <w:rPr>
                <w:rFonts w:ascii="Instrument Sans SemiBold" w:cs="Instrument Sans SemiBold" w:eastAsia="Instrument Sans SemiBold" w:hAnsi="Instrument Sans SemiBold"/>
                <w:color w:val="13261D"/>
                <w:sz w:val="16"/>
                <w:szCs w:val="16"/>
              </w:rPr>
              <w:t xml:space="preserve">Central Bank of the UAE</w:t>
            </w:r>
            <w:r>
              <w:rPr>
                <w:rFonts w:ascii="Instrument Sans" w:cs="Instrument Sans" w:eastAsia="Instrument Sans" w:hAnsi="Instrument Sans"/>
                <w:color w:val="13261D"/>
                <w:sz w:val="16"/>
                <w:szCs w:val="16"/>
              </w:rPr>
              <w:t xml:space="preserve">, centralbank.ae: exchange rates for VAT, Sep 2025 (PDF)</w:t>
            </w:r>
            <w:r>
              <w:rPr>
                <w:sz w:val="16"/>
                <w:szCs w:val="16"/>
              </w:rPr>
              <w:br/>
            </w:r>
            <w:hyperlink w:history="1" r:id="rIdrrfaw0fvfbcmwcz_ccpq3">
              <w:r>
                <w:rPr>
                  <w:rFonts w:ascii="Instrument Sans" w:cs="Instrument Sans" w:eastAsia="Instrument Sans" w:hAnsi="Instrument Sans"/>
                  <w:color w:val="0B7549"/>
                  <w:sz w:val="15"/>
                  <w:szCs w:val="15"/>
                  <w:u w:val="single"/>
                </w:rPr>
                <w:t xml:space="preserve">https://www.centralbank.ae/media/vj5boxwl/fx_sep25_en.pdf</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The fixed peg of the exchange rate of the dirham to the US dollar, at a rate of 3.6725 dirhams per US dollar</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Sep 2025 table:</w:t>
            </w:r>
            <w:r>
              <w:rPr>
                <w:rFonts w:ascii="Instrument Sans" w:cs="Instrument Sans" w:eastAsia="Instrument Sans" w:hAnsi="Instrument Sans"/>
                <w:color w:val="13261D"/>
                <w:sz w:val="16"/>
                <w:szCs w:val="16"/>
              </w:rPr>
              <w:t xml:space="preserve"> </w:t>
            </w: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01-Sep-2025 US Dollar 3.6725</w:t>
            </w:r>
            <w:r>
              <w:rPr>
                <w:rFonts w:ascii="Instrument Sans" w:cs="Instrument Sans" w:eastAsia="Instrument Sans" w:hAnsi="Instrument Sans"/>
                <w:color w:val="13261D"/>
                <w:sz w:val="16"/>
                <w:szCs w:val="16"/>
              </w:rPr>
              <w:t xml:space="preserv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Central Bank’s current web pages block automated requests, so the explicit “peg” wording is from its 2014 report; the 2025 table gives the same rate.</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Confirmed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centralbank.ae web pages: 403 (blocks bots)</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F4</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£1 = AED 4.86 (ECB reference rates, 1 October 2026, through the dirham's dollar peg of 3.6725)</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s7, COO time (comment)</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Our arithmetic on F1 to F3.</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1.1298 ÷ 0.85373 = USD 1.3234 per £1; × 3.6725 = AED 4.8601.</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Checks out.</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Derived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applicable</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F5</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EUR 1 = AED 4.15 (ECB, 1 October 2026)</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Unrounded: €1 = AED 4.149.</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s5, budget: outsourced tech support (comments)</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Our arithmetic on F1 and F3.</w:t>
            </w:r>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1.1298 × 3.6725 = AED 4.1492.</w:t>
            </w:r>
            <w:r>
              <w:rPr>
                <w:sz w:val="16"/>
                <w:szCs w:val="16"/>
              </w:rPr>
              <w:br/>
            </w:r>
            <w:r>
              <w:rPr>
                <w:rFonts w:ascii="Instrument Sans" w:cs="Instrument Sans" w:eastAsia="Instrument Sans" w:hAnsi="Instrument Sans"/>
                <w:color w:val="13261D"/>
                <w:sz w:val="16"/>
                <w:szCs w:val="16"/>
              </w:rPr>
              <w:t xml:space="preserve">3 × EUR 40,000 = EUR 120,000 = AED 497,900, “about AED 500,000”.</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Checks out.</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Derived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applicable</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F6</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AED 7M (about USD 1.9M)</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Plan</w:t>
            </w:r>
            <w:r>
              <w:rPr>
                <w:rFonts w:ascii="Instrument Sans" w:cs="Instrument Sans" w:eastAsia="Instrument Sans" w:hAnsi="Instrument Sans"/>
                <w:color w:val="13261D"/>
                <w:sz w:val="16"/>
                <w:szCs w:val="16"/>
              </w:rPr>
              <w:t xml:space="preserve"> s1 and s9</w:t>
            </w:r>
            <w:r>
              <w:rPr>
                <w:sz w:val="16"/>
                <w:szCs w:val="16"/>
              </w:rPr>
              <w:br/>
            </w:r>
            <w:r>
              <w:rPr>
                <w:rFonts w:ascii="Instrument Sans SemiBold" w:cs="Instrument Sans SemiBold" w:eastAsia="Instrument Sans SemiBold" w:hAnsi="Instrument Sans SemiBold"/>
                <w:color w:val="13261D"/>
                <w:sz w:val="16"/>
                <w:szCs w:val="16"/>
              </w:rPr>
              <w:t xml:space="preserve">Teaser</w:t>
            </w:r>
            <w:r>
              <w:rPr>
                <w:rFonts w:ascii="Instrument Sans" w:cs="Instrument Sans" w:eastAsia="Instrument Sans" w:hAnsi="Instrument Sans"/>
                <w:color w:val="13261D"/>
                <w:sz w:val="16"/>
                <w:szCs w:val="16"/>
              </w:rPr>
              <w:t xml:space="preserve">, the raise</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Our arithmetic on F3.</w:t>
            </w:r>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7,000,000 ÷ 3.6725 = USD 1,906,059.</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Checks out.</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Derived</w:t>
            </w:r>
            <w:r>
              <w:rPr>
                <w:sz w:val="16"/>
                <w:szCs w:val="16"/>
              </w:rPr>
              <w:br/>
            </w:r>
            <w:r>
              <w:rPr>
                <w:rFonts w:ascii="Instrument Sans" w:cs="Instrument Sans" w:eastAsia="Instrument Sans" w:hAnsi="Instrument Sans"/>
                <w:color w:val="4A5E53"/>
                <w:sz w:val="16"/>
                <w:szCs w:val="16"/>
              </w:rPr>
              <w:t xml:space="preserve">2 Oct 2026</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applicable</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6</w:t>
      </w:r>
      <w:r>
        <w:rPr>
          <w:rFonts w:ascii="Bricolage Grotesque SemiBold" w:cs="Bricolage Grotesque SemiBold" w:eastAsia="Bricolage Grotesque SemiBold" w:hAnsi="Bricolage Grotesque SemiBold"/>
          <w:color w:val="13261D"/>
          <w:sz w:val="28"/>
          <w:szCs w:val="28"/>
        </w:rPr>
        <w:t xml:space="preserve">   Rate benchmarks on the briefing page</w:t>
      </w:r>
    </w:p>
    <w:p>
      <w:pPr>
        <w:keepNext/>
        <w:spacing w:after="120" w:before="0" w:line="250" w:lineRule="auto"/>
      </w:pPr>
      <w:r>
        <w:rPr>
          <w:rFonts w:ascii="Instrument Sans" w:cs="Instrument Sans" w:eastAsia="Instrument Sans" w:hAnsi="Instrument Sans"/>
          <w:color w:val="4A5E53"/>
          <w:sz w:val="18"/>
          <w:szCs w:val="18"/>
        </w:rPr>
        <w:t xml:space="preserve">Background figures on the briefing page only; none of these is in the plan or the teaser. From the 30 September rate research (research/bench.md).</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0"/>
        <w:gridCol w:w="2480"/>
        <w:gridCol w:w="1500"/>
        <w:gridCol w:w="3640"/>
        <w:gridCol w:w="4460"/>
        <w:gridCol w:w="1060"/>
        <w:gridCol w:w="1158"/>
      </w:tblGrid>
      <w:tr>
        <w:trPr>
          <w:cantSplit/>
          <w:tblHeader/>
        </w:trPr>
        <w:tc>
          <w:tcPr>
            <w:tcW w:type="dxa" w:w="5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t>
            </w:r>
          </w:p>
        </w:tc>
        <w:tc>
          <w:tcPr>
            <w:tcW w:type="dxa" w:w="248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Claim as worded in our materials</w:t>
            </w:r>
          </w:p>
        </w:tc>
        <w:tc>
          <w:tcPr>
            <w:tcW w:type="dxa" w:w="1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Where it appears</w:t>
            </w:r>
          </w:p>
        </w:tc>
        <w:tc>
          <w:tcPr>
            <w:tcW w:type="dxa" w:w="364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Source</w:t>
            </w:r>
          </w:p>
        </w:tc>
        <w:tc>
          <w:tcPr>
            <w:tcW w:type="dxa" w:w="44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Key quote or evidence</w:t>
            </w:r>
          </w:p>
        </w:tc>
        <w:tc>
          <w:tcPr>
            <w:tcW w:type="dxa" w:w="106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Checked</w:t>
            </w:r>
          </w:p>
        </w:tc>
        <w:tc>
          <w:tcPr>
            <w:tcW w:type="dxa" w:w="115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Link status, 2 Oct</w:t>
            </w:r>
          </w:p>
        </w:tc>
      </w:tr>
      <w:tr>
        <w:trPr>
          <w:cantSplit/>
        </w:trPr>
        <w:tc>
          <w:tcPr>
            <w:tcW w:type="dxa" w:w="5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R1</w:t>
            </w:r>
          </w:p>
        </w:tc>
        <w:tc>
          <w:tcPr>
            <w:tcW w:type="dxa" w:w="248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At normal Romanian senior agency rates (€55-75 an hour) the same hours cost AED 0.73-0.99M a year</w:t>
            </w:r>
            <w:r>
              <w:rPr>
                <w:rFonts w:ascii="Instrument Sans" w:cs="Instrument Sans" w:eastAsia="Instrument Sans" w:hAnsi="Instrument Sans"/>
                <w:color w:val="13261D"/>
                <w:sz w:val="16"/>
                <w:szCs w:val="16"/>
              </w:rPr>
              <w:t xml:space="preserve">”</w:t>
            </w:r>
          </w:p>
        </w:tc>
        <w:tc>
          <w:tcPr>
            <w:tcW w:type="dxa" w:w="1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Team and dev resources: Reality check on the AED 600k (background, not in the plan)</w:t>
            </w:r>
          </w:p>
        </w:tc>
        <w:tc>
          <w:tcPr>
            <w:tcW w:type="dxa" w:w="364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Accelerance</w:t>
            </w:r>
            <w:r>
              <w:rPr>
                <w:rFonts w:ascii="Instrument Sans" w:cs="Instrument Sans" w:eastAsia="Instrument Sans" w:hAnsi="Instrument Sans"/>
                <w:color w:val="13261D"/>
                <w:sz w:val="16"/>
                <w:szCs w:val="16"/>
              </w:rPr>
              <w:t xml:space="preserve">, 2026 outsourcing rate trends</w:t>
            </w:r>
            <w:r>
              <w:rPr>
                <w:sz w:val="16"/>
                <w:szCs w:val="16"/>
              </w:rPr>
              <w:br/>
            </w:r>
            <w:hyperlink w:history="1" r:id="rIdd4lo6wqzlzmnqsp4frn1c">
              <w:r>
                <w:rPr>
                  <w:rFonts w:ascii="Instrument Sans" w:cs="Instrument Sans" w:eastAsia="Instrument Sans" w:hAnsi="Instrument Sans"/>
                  <w:color w:val="0B7549"/>
                  <w:sz w:val="15"/>
                  <w:szCs w:val="15"/>
                  <w:u w:val="single"/>
                </w:rPr>
                <w:t xml:space="preserve">https://www.accelerance.com/blog/2026-outsourcing-rate-trends-asia-europe-latam</w:t>
              </w:r>
            </w:hyperlink>
            <w:r>
              <w:rPr>
                <w:sz w:val="16"/>
                <w:szCs w:val="16"/>
              </w:rPr>
              <w:br/>
            </w:r>
            <w:r>
              <w:rPr>
                <w:rFonts w:ascii="Instrument Sans SemiBold" w:cs="Instrument Sans SemiBold" w:eastAsia="Instrument Sans SemiBold" w:hAnsi="Instrument Sans SemiBold"/>
                <w:color w:val="13261D"/>
                <w:sz w:val="16"/>
                <w:szCs w:val="16"/>
              </w:rPr>
              <w:t xml:space="preserve">Northdan</w:t>
            </w:r>
            <w:r>
              <w:rPr>
                <w:rFonts w:ascii="Instrument Sans" w:cs="Instrument Sans" w:eastAsia="Instrument Sans" w:hAnsi="Instrument Sans"/>
                <w:color w:val="13261D"/>
                <w:sz w:val="16"/>
                <w:szCs w:val="16"/>
              </w:rPr>
              <w:t xml:space="preserve">, Developer hourly rates, Romania</w:t>
            </w:r>
            <w:r>
              <w:rPr>
                <w:sz w:val="16"/>
                <w:szCs w:val="16"/>
              </w:rPr>
              <w:br/>
            </w:r>
            <w:hyperlink w:history="1" r:id="rIdb8jqyv9bxgpfaxrjpnp-_">
              <w:r>
                <w:rPr>
                  <w:rFonts w:ascii="Instrument Sans" w:cs="Instrument Sans" w:eastAsia="Instrument Sans" w:hAnsi="Instrument Sans"/>
                  <w:color w:val="0B7549"/>
                  <w:sz w:val="15"/>
                  <w:szCs w:val="15"/>
                  <w:u w:val="single"/>
                </w:rPr>
                <w:t xml:space="preserve">https://northdan.com/en/pricing/developer-hourly-rates-romania/</w:t>
              </w:r>
            </w:hyperlink>
            <w:r>
              <w:rPr>
                <w:sz w:val="16"/>
                <w:szCs w:val="16"/>
              </w:rPr>
              <w:br/>
            </w:r>
            <w:r>
              <w:rPr>
                <w:rFonts w:ascii="Instrument Sans SemiBold" w:cs="Instrument Sans SemiBold" w:eastAsia="Instrument Sans SemiBold" w:hAnsi="Instrument Sans SemiBold"/>
                <w:color w:val="13261D"/>
                <w:sz w:val="16"/>
                <w:szCs w:val="16"/>
              </w:rPr>
              <w:t xml:space="preserve">Clutch</w:t>
            </w:r>
            <w:r>
              <w:rPr>
                <w:rFonts w:ascii="Instrument Sans" w:cs="Instrument Sans" w:eastAsia="Instrument Sans" w:hAnsi="Instrument Sans"/>
                <w:color w:val="13261D"/>
                <w:sz w:val="16"/>
                <w:szCs w:val="16"/>
              </w:rPr>
              <w:t xml:space="preserve">, Romanian developers</w:t>
            </w:r>
            <w:r>
              <w:rPr>
                <w:sz w:val="16"/>
                <w:szCs w:val="16"/>
              </w:rPr>
              <w:br/>
            </w:r>
            <w:hyperlink w:history="1" r:id="rIdfpeet6vsoef8r2vqz665o">
              <w:r>
                <w:rPr>
                  <w:rFonts w:ascii="Instrument Sans" w:cs="Instrument Sans" w:eastAsia="Instrument Sans" w:hAnsi="Instrument Sans"/>
                  <w:color w:val="0B7549"/>
                  <w:sz w:val="15"/>
                  <w:szCs w:val="15"/>
                  <w:u w:val="single"/>
                </w:rPr>
                <w:t xml:space="preserve">https://clutch.co/ro/developers</w:t>
              </w:r>
            </w:hyperlink>
          </w:p>
        </w:tc>
        <w:tc>
          <w:tcPr>
            <w:tcW w:type="dxa" w:w="44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From research/bench.md: Accelerance, Europe senior USD 64-76 an hour (€56-67); Northdan, Romanian agency senior €60-90; Clutch Romania, 12 of 18 listed firms at USD 50-99. The €55-75 band is the researcher’s synthesis of these.</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Converted at €1 = AED 4.1701 (ECB, 30 Sep).</w:t>
            </w:r>
          </w:p>
        </w:tc>
        <w:tc>
          <w:tcPr>
            <w:tcW w:type="dxa" w:w="106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Checked 30 Sep</w:t>
            </w:r>
            <w:r>
              <w:rPr>
                <w:sz w:val="16"/>
                <w:szCs w:val="16"/>
              </w:rPr>
              <w:br/>
            </w:r>
            <w:r>
              <w:rPr>
                <w:rFonts w:ascii="Instrument Sans" w:cs="Instrument Sans" w:eastAsia="Instrument Sans" w:hAnsi="Instrument Sans"/>
                <w:color w:val="4A5E53"/>
                <w:sz w:val="16"/>
                <w:szCs w:val="16"/>
              </w:rPr>
              <w:t xml:space="preserve">Not re-opened on 2 Oct</w:t>
            </w:r>
          </w:p>
        </w:tc>
        <w:tc>
          <w:tcPr>
            <w:tcW w:type="dxa" w:w="115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403 (blocks bots)</w:t>
            </w:r>
          </w:p>
        </w:tc>
      </w:tr>
      <w:tr>
        <w:trPr>
          <w:cantSplit/>
        </w:trPr>
        <w:tc>
          <w:tcPr>
            <w:tcW w:type="dxa" w:w="5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R2</w:t>
            </w:r>
          </w:p>
        </w:tc>
        <w:tc>
          <w:tcPr>
            <w:tcW w:type="dxa" w:w="248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w:t>
            </w:r>
            <w:r>
              <w:rPr>
                <w:rFonts w:ascii="Instrument Sans" w:cs="Instrument Sans" w:eastAsia="Instrument Sans" w:hAnsi="Instrument Sans"/>
                <w:i/>
                <w:iCs/>
                <w:color w:val="13261D"/>
                <w:sz w:val="16"/>
                <w:szCs w:val="16"/>
              </w:rPr>
              <w:t xml:space="preserve">at UAE in-house cost (about AED 34k)</w:t>
            </w:r>
            <w:r>
              <w:rPr>
                <w:rFonts w:ascii="Instrument Sans" w:cs="Instrument Sans" w:eastAsia="Instrument Sans" w:hAnsi="Instrument Sans"/>
                <w:color w:val="13261D"/>
                <w:sz w:val="16"/>
                <w:szCs w:val="16"/>
              </w:rPr>
              <w:t xml:space="preserve">”</w:t>
            </w:r>
            <w:r>
              <w:rPr>
                <w:sz w:val="16"/>
                <w:szCs w:val="16"/>
              </w:rPr>
              <w:br/>
            </w:r>
            <w:r>
              <w:rPr>
                <w:rFonts w:ascii="Instrument Sans" w:cs="Instrument Sans" w:eastAsia="Instrument Sans" w:hAnsi="Instrument Sans"/>
                <w:color w:val="13261D"/>
                <w:sz w:val="16"/>
                <w:szCs w:val="16"/>
              </w:rPr>
              <w:t xml:space="preserve">A senior engineer, per person-month, fully loaded. Also “salary and rate benchmarks from Robert Walters 2026, Charterhouse 2026, Hays GCC 2025, Cooper Fitch 2025 and Hays Romania 2025”.</w:t>
            </w:r>
          </w:p>
        </w:tc>
        <w:tc>
          <w:tcPr>
            <w:tcW w:type="dxa" w:w="1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Briefing</w:t>
            </w:r>
            <w:r>
              <w:rPr>
                <w:rFonts w:ascii="Instrument Sans" w:cs="Instrument Sans" w:eastAsia="Instrument Sans" w:hAnsi="Instrument Sans"/>
                <w:color w:val="13261D"/>
                <w:sz w:val="16"/>
                <w:szCs w:val="16"/>
              </w:rPr>
              <w:t xml:space="preserve">, Invested to date (background) and Versions and sources</w:t>
            </w:r>
          </w:p>
        </w:tc>
        <w:tc>
          <w:tcPr>
            <w:tcW w:type="dxa" w:w="364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Robert Walters</w:t>
            </w:r>
            <w:r>
              <w:rPr>
                <w:rFonts w:ascii="Instrument Sans" w:cs="Instrument Sans" w:eastAsia="Instrument Sans" w:hAnsi="Instrument Sans"/>
                <w:color w:val="13261D"/>
                <w:sz w:val="16"/>
                <w:szCs w:val="16"/>
              </w:rPr>
              <w:t xml:space="preserve">, Middle East Salary Survey 2026 (PDF)</w:t>
            </w:r>
            <w:r>
              <w:rPr>
                <w:sz w:val="16"/>
                <w:szCs w:val="16"/>
              </w:rPr>
              <w:br/>
            </w:r>
            <w:hyperlink w:history="1" r:id="rIduiv-cqkbgvkwx9jxale3k">
              <w:r>
                <w:rPr>
                  <w:rFonts w:ascii="Instrument Sans" w:cs="Instrument Sans" w:eastAsia="Instrument Sans" w:hAnsi="Instrument Sans"/>
                  <w:color w:val="0B7549"/>
                  <w:sz w:val="15"/>
                  <w:szCs w:val="15"/>
                  <w:u w:val="single"/>
                </w:rPr>
                <w:t xml:space="preserve">https://www.robertwalters.ae/content/dam/robert-walters-redesign/country/middle-east/files/reports---e-guides-2026/Robert%20Walters%20Middle%20East%20Salary%20Survey%202026.pdf</w:t>
              </w:r>
            </w:hyperlink>
            <w:r>
              <w:rPr>
                <w:sz w:val="16"/>
                <w:szCs w:val="16"/>
              </w:rPr>
              <w:br/>
            </w:r>
            <w:r>
              <w:rPr>
                <w:rFonts w:ascii="Instrument Sans SemiBold" w:cs="Instrument Sans SemiBold" w:eastAsia="Instrument Sans SemiBold" w:hAnsi="Instrument Sans SemiBold"/>
                <w:color w:val="13261D"/>
                <w:sz w:val="16"/>
                <w:szCs w:val="16"/>
              </w:rPr>
              <w:t xml:space="preserve">Charterhouse</w:t>
            </w:r>
            <w:r>
              <w:rPr>
                <w:rFonts w:ascii="Instrument Sans" w:cs="Instrument Sans" w:eastAsia="Instrument Sans" w:hAnsi="Instrument Sans"/>
                <w:color w:val="13261D"/>
                <w:sz w:val="16"/>
                <w:szCs w:val="16"/>
              </w:rPr>
              <w:t xml:space="preserve">, Salary levels 2026</w:t>
            </w:r>
            <w:r>
              <w:rPr>
                <w:sz w:val="16"/>
                <w:szCs w:val="16"/>
              </w:rPr>
              <w:br/>
            </w:r>
            <w:hyperlink w:history="1" r:id="rId3c1sfhu4md1hlymxzqxtz">
              <w:r>
                <w:rPr>
                  <w:rFonts w:ascii="Instrument Sans" w:cs="Instrument Sans" w:eastAsia="Instrument Sans" w:hAnsi="Instrument Sans"/>
                  <w:color w:val="0B7549"/>
                  <w:sz w:val="15"/>
                  <w:szCs w:val="15"/>
                  <w:u w:val="single"/>
                </w:rPr>
                <w:t xml:space="preserve">https://www.charterhouseme.ae/salary-levels-2026</w:t>
              </w:r>
            </w:hyperlink>
            <w:r>
              <w:rPr>
                <w:sz w:val="16"/>
                <w:szCs w:val="16"/>
              </w:rPr>
              <w:br/>
            </w:r>
            <w:r>
              <w:rPr>
                <w:rFonts w:ascii="Instrument Sans SemiBold" w:cs="Instrument Sans SemiBold" w:eastAsia="Instrument Sans SemiBold" w:hAnsi="Instrument Sans SemiBold"/>
                <w:color w:val="13261D"/>
                <w:sz w:val="16"/>
                <w:szCs w:val="16"/>
              </w:rPr>
              <w:t xml:space="preserve">Hays</w:t>
            </w:r>
            <w:r>
              <w:rPr>
                <w:rFonts w:ascii="Instrument Sans" w:cs="Instrument Sans" w:eastAsia="Instrument Sans" w:hAnsi="Instrument Sans"/>
                <w:color w:val="13261D"/>
                <w:sz w:val="16"/>
                <w:szCs w:val="16"/>
              </w:rPr>
              <w:t xml:space="preserve">, GCC Salary Guide 2025 (PDF)</w:t>
            </w:r>
            <w:r>
              <w:rPr>
                <w:sz w:val="16"/>
                <w:szCs w:val="16"/>
              </w:rPr>
              <w:br/>
            </w:r>
            <w:hyperlink w:history="1" r:id="rIdj_gvutkqghytkot4q7yha">
              <w:r>
                <w:rPr>
                  <w:rFonts w:ascii="Instrument Sans" w:cs="Instrument Sans" w:eastAsia="Instrument Sans" w:hAnsi="Instrument Sans"/>
                  <w:color w:val="0B7549"/>
                  <w:sz w:val="15"/>
                  <w:szCs w:val="15"/>
                  <w:u w:val="single"/>
                </w:rPr>
                <w:t xml:space="preserve">https://www.hays.ae/documents/d/hays-salary-guide-ae/hays-gcc-salary-guide-2025-1</w:t>
              </w:r>
            </w:hyperlink>
            <w:r>
              <w:rPr>
                <w:sz w:val="16"/>
                <w:szCs w:val="16"/>
              </w:rPr>
              <w:br/>
            </w:r>
            <w:r>
              <w:rPr>
                <w:rFonts w:ascii="Instrument Sans SemiBold" w:cs="Instrument Sans SemiBold" w:eastAsia="Instrument Sans SemiBold" w:hAnsi="Instrument Sans SemiBold"/>
                <w:color w:val="13261D"/>
                <w:sz w:val="16"/>
                <w:szCs w:val="16"/>
              </w:rPr>
              <w:t xml:space="preserve">Cooper Fitch</w:t>
            </w:r>
            <w:r>
              <w:rPr>
                <w:rFonts w:ascii="Instrument Sans" w:cs="Instrument Sans" w:eastAsia="Instrument Sans" w:hAnsi="Instrument Sans"/>
                <w:color w:val="13261D"/>
                <w:sz w:val="16"/>
                <w:szCs w:val="16"/>
              </w:rPr>
              <w:t xml:space="preserve">, UAE Salary Guide 2025 (PDF)</w:t>
            </w:r>
            <w:r>
              <w:rPr>
                <w:sz w:val="16"/>
                <w:szCs w:val="16"/>
              </w:rPr>
              <w:br/>
            </w:r>
            <w:hyperlink w:history="1" r:id="rIdickovjl0truvkyyqexyto">
              <w:r>
                <w:rPr>
                  <w:rFonts w:ascii="Instrument Sans" w:cs="Instrument Sans" w:eastAsia="Instrument Sans" w:hAnsi="Instrument Sans"/>
                  <w:color w:val="0B7549"/>
                  <w:sz w:val="15"/>
                  <w:szCs w:val="15"/>
                  <w:u w:val="single"/>
                </w:rPr>
                <w:t xml:space="preserve">https://cooperfitch.ae/wp-content/uploads/2024/12/Salary-Guide-UAE-2025-Cooper-Fitch.pdf</w:t>
              </w:r>
            </w:hyperlink>
            <w:r>
              <w:rPr>
                <w:sz w:val="16"/>
                <w:szCs w:val="16"/>
              </w:rPr>
              <w:br/>
            </w:r>
            <w:r>
              <w:rPr>
                <w:rFonts w:ascii="Instrument Sans SemiBold" w:cs="Instrument Sans SemiBold" w:eastAsia="Instrument Sans SemiBold" w:hAnsi="Instrument Sans SemiBold"/>
                <w:color w:val="13261D"/>
                <w:sz w:val="16"/>
                <w:szCs w:val="16"/>
              </w:rPr>
              <w:t xml:space="preserve">Hays Romania</w:t>
            </w:r>
            <w:r>
              <w:rPr>
                <w:rFonts w:ascii="Instrument Sans" w:cs="Instrument Sans" w:eastAsia="Instrument Sans" w:hAnsi="Instrument Sans"/>
                <w:color w:val="13261D"/>
                <w:sz w:val="16"/>
                <w:szCs w:val="16"/>
              </w:rPr>
              <w:t xml:space="preserve">, Salary Guide 2025 (PDF, third-party host)</w:t>
            </w:r>
            <w:r>
              <w:rPr>
                <w:sz w:val="16"/>
                <w:szCs w:val="16"/>
              </w:rPr>
              <w:br/>
            </w:r>
            <w:hyperlink w:history="1" r:id="rIdi3ek77l56i2kemicat5du">
              <w:r>
                <w:rPr>
                  <w:rFonts w:ascii="Instrument Sans" w:cs="Instrument Sans" w:eastAsia="Instrument Sans" w:hAnsi="Instrument Sans"/>
                  <w:color w:val="0B7549"/>
                  <w:sz w:val="15"/>
                  <w:szCs w:val="15"/>
                  <w:u w:val="single"/>
                </w:rPr>
                <w:t xml:space="preserve">https://i0.1616.ro/media/2/2621/33243/21962471/7/hays-romania-salary-guide-2025.pdf</w:t>
              </w:r>
            </w:hyperlink>
          </w:p>
        </w:tc>
        <w:tc>
          <w:tcPr>
            <w:tcW w:type="dxa" w:w="44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From research/bench.md: senior mobile developer salary AED 25-45k a month (median 32.5k) across the UAE guides; with visa, insurance, gratuity and leave, about AED 34.8k a month fully loaded (our calculation).</w:t>
            </w:r>
            <w:r>
              <w:rPr>
                <w:sz w:val="16"/>
                <w:szCs w:val="16"/>
              </w:rPr>
              <w:br/>
            </w:r>
            <w:r>
              <w:rPr>
                <w:rFonts w:ascii="Instrument Sans SemiBold" w:cs="Instrument Sans SemiBold" w:eastAsia="Instrument Sans SemiBold" w:hAnsi="Instrument Sans SemiBold"/>
                <w:color w:val="4A5E53"/>
                <w:sz w:val="16"/>
                <w:szCs w:val="16"/>
              </w:rPr>
              <w:t xml:space="preserve">Note:</w:t>
            </w:r>
            <w:r>
              <w:rPr>
                <w:rFonts w:ascii="Instrument Sans" w:cs="Instrument Sans" w:eastAsia="Instrument Sans" w:hAnsi="Instrument Sans"/>
                <w:color w:val="4A5E53"/>
                <w:sz w:val="16"/>
                <w:szCs w:val="16"/>
              </w:rPr>
              <w:t xml:space="preserve"> The 34k is our derivation from the guides, not a figure printed in them.</w:t>
            </w:r>
          </w:p>
        </w:tc>
        <w:tc>
          <w:tcPr>
            <w:tcW w:type="dxa" w:w="106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0B7549"/>
                <w:sz w:val="16"/>
                <w:szCs w:val="16"/>
              </w:rPr>
              <w:t xml:space="preserve">Checked 30 Sep</w:t>
            </w:r>
            <w:r>
              <w:rPr>
                <w:sz w:val="16"/>
                <w:szCs w:val="16"/>
              </w:rPr>
              <w:br/>
            </w:r>
            <w:r>
              <w:rPr>
                <w:rFonts w:ascii="Instrument Sans" w:cs="Instrument Sans" w:eastAsia="Instrument Sans" w:hAnsi="Instrument Sans"/>
                <w:color w:val="4A5E53"/>
                <w:sz w:val="16"/>
                <w:szCs w:val="16"/>
              </w:rPr>
              <w:t xml:space="preserve">Not re-opened on 2 Oct</w:t>
            </w:r>
          </w:p>
        </w:tc>
        <w:tc>
          <w:tcPr>
            <w:tcW w:type="dxa" w:w="115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 (serves a PDF)</w:t>
            </w:r>
            <w:r>
              <w:rPr>
                <w:sz w:val="16"/>
                <w:szCs w:val="16"/>
              </w:rPr>
              <w:br/>
            </w:r>
            <w:r>
              <w:rPr>
                <w:rFonts w:ascii="Instrument Sans" w:cs="Instrument Sans" w:eastAsia="Instrument Sans" w:hAnsi="Instrument Sans"/>
                <w:color w:val="13261D"/>
                <w:sz w:val="16"/>
                <w:szCs w:val="16"/>
              </w:rPr>
              <w:t xml:space="preserve">200</w:t>
            </w:r>
            <w:r>
              <w:rPr>
                <w:sz w:val="16"/>
                <w:szCs w:val="16"/>
              </w:rPr>
              <w:br/>
            </w:r>
            <w:r>
              <w:rPr>
                <w:rFonts w:ascii="Instrument Sans" w:cs="Instrument Sans" w:eastAsia="Instrument Sans" w:hAnsi="Instrument Sans"/>
                <w:color w:val="13261D"/>
                <w:sz w:val="16"/>
                <w:szCs w:val="16"/>
              </w:rPr>
              <w:t xml:space="preserve">200</w:t>
            </w:r>
          </w:p>
        </w:tc>
      </w:tr>
    </w:tbl>
    <w:p>
      <w:pPr>
        <w:keepNext/>
        <w:keepLines/>
        <w:spacing w:after="120" w:before="300" w:line="240" w:lineRule="auto"/>
      </w:pPr>
      <w:r>
        <w:rPr>
          <w:rFonts w:ascii="Bricolage Grotesque SemiBold" w:cs="Bricolage Grotesque SemiBold" w:eastAsia="Bricolage Grotesque SemiBold" w:hAnsi="Bricolage Grotesque SemiBold"/>
          <w:color w:val="0E8F5C"/>
          <w:sz w:val="28"/>
          <w:szCs w:val="28"/>
        </w:rPr>
        <w:t xml:space="preserve">7</w:t>
      </w:r>
      <w:r>
        <w:rPr>
          <w:rFonts w:ascii="Bricolage Grotesque SemiBold" w:cs="Bricolage Grotesque SemiBold" w:eastAsia="Bricolage Grotesque SemiBold" w:hAnsi="Bricolage Grotesque SemiBold"/>
          <w:color w:val="13261D"/>
          <w:sz w:val="28"/>
          <w:szCs w:val="28"/>
        </w:rPr>
        <w:t xml:space="preserve">   Not researched: from the founders</w:t>
      </w:r>
    </w:p>
    <w:p>
      <w:pPr>
        <w:keepNext/>
        <w:spacing w:after="120" w:before="0" w:line="250" w:lineRule="auto"/>
      </w:pPr>
      <w:r>
        <w:rPr>
          <w:rFonts w:ascii="Instrument Sans" w:cs="Instrument Sans" w:eastAsia="Instrument Sans" w:hAnsi="Instrument Sans"/>
          <w:color w:val="4A5E53"/>
          <w:sz w:val="18"/>
          <w:szCs w:val="18"/>
        </w:rPr>
        <w:t xml:space="preserve">These numbers came from Jon or Stevan, or from ELA’s own records, not from external research. They are not sourced externally, so a reader should not treat them as checked facts.</w:t>
      </w:r>
    </w:p>
    <w:tbl>
      <w:tblPr>
        <w:tblW w:type="dxa" w:w="148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200"/>
        <w:gridCol w:w="6000"/>
        <w:gridCol w:w="5638"/>
      </w:tblGrid>
      <w:tr>
        <w:trPr>
          <w:cantSplit/>
          <w:tblHeader/>
        </w:trPr>
        <w:tc>
          <w:tcPr>
            <w:tcW w:type="dxa" w:w="32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5"/>
                <w:szCs w:val="15"/>
              </w:rPr>
              <w:t xml:space="preserve">Figure</w:t>
            </w:r>
          </w:p>
        </w:tc>
        <w:tc>
          <w:tcPr>
            <w:tcW w:type="dxa" w:w="60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5"/>
                <w:szCs w:val="15"/>
              </w:rPr>
              <w:t xml:space="preserve">What our materials say</w:t>
            </w:r>
          </w:p>
        </w:tc>
        <w:tc>
          <w:tcPr>
            <w:tcW w:type="dxa" w:w="563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5"/>
                <w:szCs w:val="15"/>
              </w:rPr>
              <w:t xml:space="preserve">Where it came from</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Membership prices</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24.99 a week, 79.99 a month or 749.99 a year</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The founders’ pricing, App Store subscriptions from 22 August 2026.</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Insurance add-on premium</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3,000 per adult a year</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The Sukoon talks, 12-14 August. To confirm with Howden and AIG.</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Insurance add-on cover</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Legal fees up to AED 100,000 and bail up to AED 50,000 a claim; AED 20,000 deductible; 30-90 day cooling-off</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31 July plan.</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ELA’s share of the premium</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10%</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 1 October (as in Jon’s 9 September teaser). Jon to confirm with Howden and AIG.</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Insurers</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“Agreed in principle with Howden and AIG”</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messages.</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Legal referral commission</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10% of legal fees</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31 July plan. See L1 for the legal risk.</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Claims model</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0.5-1.5% of policyholders claim each year, “from comparable legal expenses insurance markets”; each claim uses the full cover</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31 July plan. It names no source, and we have not checked one.</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Members and channels</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100,000, 300,000 and 500,000 members in year one; base case 200,000 individuals, 50,000 corporate, 25,000 SME and 5,000 consular; half take the add-on</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July 2026 model.</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Year-one budget</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4.62M, including Helios AI Agency, social ads and PR at AED 480,000 each, office AED 500,000 and personnel AED 600,000</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31 July plan. Helios AI described by Stevan, 1 October.</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Outsourced tech support</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600,000 for 12 months: three people at about EUR 40,000 a year each</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Stevan’s basis, 2 October. Only the EUR to AED step is sourced (F5).</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Board fees</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10,000 a month each for four board members (AED 480,000 a year)</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 1 October. Jon to confirm.</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The raise</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7M: the AED 4.62M budget plus AED 2.38M contingency; about 18 months of runway</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Jon’s July plan. The runway is our arithmetic (7.0 ÷ 4.62 × 12 = 18 months).</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Delivery team</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Lead engineer about 160 hours a month; backup 40; DevOps 25; designer 25, or 60 around launch; coordination 15</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Stevan’s 15 August partner scope.</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Development partner options</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AED 600,000 envelope, or AED 1.91M in kind; implied partner rate about AED 30,000 a person-month</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Stevan’s 15 August scope; Jon’s 19 August document.</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COO hours (the hours estimate)</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About 600 hours, 7 May to 30 September 2026</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Counted from ELA’s own commit and session records. An internal count, not external research.</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Value of founder time</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COO about AED 180,000 at his salary rate; CEO about AED 92,000</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Stevan’s salary rate (kept out of every document) and his estimate of Jon’s time. The £ to AED step is sourced (F4).</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Cash spent</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About AED 15,000: Claude about USD 2,500, Codex about USD 1,200, servers about £300</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Stevan’s notes.</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Launch work left</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About 4-6 weeks</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ELA’s 22 September launch stock-take (internal).</w:t>
            </w:r>
          </w:p>
        </w:tc>
      </w:tr>
      <w:tr>
        <w:trPr>
          <w:cantSplit/>
        </w:trPr>
        <w:tc>
          <w:tcPr>
            <w:tcW w:type="dxa" w:w="32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Build effort (briefing background only)</w:t>
            </w:r>
          </w:p>
        </w:tc>
        <w:tc>
          <w:tcPr>
            <w:tcW w:type="dxa" w:w="6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41-55 person-months</w:t>
            </w:r>
          </w:p>
        </w:tc>
        <w:tc>
          <w:tcPr>
            <w:tcW w:type="dxa" w:w="5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Our own agents’ estimate of 30 September, not an external source.</w:t>
            </w:r>
          </w:p>
        </w:tc>
      </w:tr>
      <w:tr>
        <w:trPr>
          <w:cantSplit/>
        </w:trPr>
        <w:tc>
          <w:tcPr>
            <w:tcW w:type="dxa" w:w="32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7"/>
                <w:szCs w:val="17"/>
              </w:rPr>
              <w:t xml:space="preserve">Milestones, roll-out and targets</w:t>
            </w:r>
          </w:p>
        </w:tc>
        <w:tc>
          <w:tcPr>
            <w:tcW w:type="dxa" w:w="6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Milestone dates; the year 1-5 country roll-out; the named corporate targets</w:t>
            </w:r>
          </w:p>
        </w:tc>
        <w:tc>
          <w:tcPr>
            <w:tcW w:type="dxa" w:w="5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7"/>
                <w:szCs w:val="17"/>
              </w:rPr>
              <w:t xml:space="preserve">Repo history and the founders’ records; Jon’s July plan. Named organisations are targets, not customers.</w:t>
            </w:r>
          </w:p>
        </w:tc>
      </w:tr>
    </w:tbl>
    <w:p>
      <w:pPr>
        <w:spacing w:after="0" w:before="200" w:line="250" w:lineRule="auto"/>
      </w:pPr>
      <w:r>
        <w:rPr>
          <w:rFonts w:ascii="Instrument Sans" w:cs="Instrument Sans" w:eastAsia="Instrument Sans" w:hAnsi="Instrument Sans"/>
          <w:color w:val="627469"/>
          <w:sz w:val="15"/>
          <w:szCs w:val="15"/>
        </w:rPr>
        <w:t xml:space="preserve">Prepared on 2 October 2026 from the competitor scan of 1 October (research/competitors.md and its notes), the rate research of 30 September (research/bench.md) and re-checks at source on 2 October by three research agents (Claude Opus 5.5) and direct fetches. Quotes are verbatim; “...” marks a cut.</w:t>
      </w:r>
    </w:p>
    <w:sectPr>
      <w:footerReference w:type="default" r:id="rId6"/>
      <w:pgSz w:w="16838" w:h="11906" w:orient="landscape"/>
      <w:pgMar w:top="800" w:right="1000" w:bottom="760" w:left="1000" w:header="400" w:footer="3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A570ABB5-577D-6F2F-4EE8-F342ED7BD042}"/>
  </w:font>
  <w:font w:name="Instrument Sans SemiBold">
    <w:family w:val="auto"/>
    <w:pitch w:val="variable"/>
    <w:sig w:usb0="E0002AFF" w:usb1="C000247B" w:usb2="00000009" w:usb3="00000000" w:csb0="000001FF" w:csb1="00000000"/>
    <w:embedRegular r:id="rId2" w:fontKey="{039BA169-96DC-60C9-0C47-D0559030610A}"/>
  </w:font>
  <w:font w:name="Bricolage Grotesque SemiBold">
    <w:family w:val="auto"/>
    <w:pitch w:val="variable"/>
    <w:sig w:usb0="E0002AFF" w:usb1="C000247B" w:usb2="00000009" w:usb3="00000000" w:csb0="000001FF" w:csb1="00000000"/>
    <w:embedRegular r:id="rId3" w:fontKey="{A2B5317E-74CC-927B-ECA5-15C2CBD0C9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LAFooter"/>
      <w:pBdr>
        <w:top w:val="single" w:color="D3DDD6" w:sz="4" w:space="6"/>
      </w:pBdr>
      <w:tabs>
        <w:tab w:val="right" w:pos="14838"/>
      </w:tabs>
      <w:spacing w:after="0"/>
    </w:pPr>
    <w:r>
      <w:rPr>
        <w:color w:val="627469"/>
        <w:sz w:val="14"/>
        <w:szCs w:val="14"/>
      </w:rPr>
      <w:t xml:space="preserve">ELA sources and references  ·  Checked 1-2 October 2026  ·  Confidential, for the founders</w:t>
    </w:r>
    <w:r>
      <w:rPr>
        <w:color w:val="627469"/>
        <w:sz w:val="14"/>
        <w:szCs w:val="14"/>
      </w:rPr>
      <w:t xml:space="preserve">	Page </w:t>
    </w:r>
    <w:r>
      <w:rPr>
        <w:color w:val="627469"/>
        <w:sz w:val="14"/>
        <w:szCs w:val="14"/>
      </w:rPr>
      <w:fldChar w:fldCharType="begin"/>
      <w:instrText xml:space="preserve">PAGE</w:instrText>
      <w:fldChar w:fldCharType="separate"/>
      <w:fldChar w:fldCharType="end"/>
    </w:r>
    <w:r>
      <w:rPr>
        <w:color w:val="627469"/>
        <w:sz w:val="14"/>
        <w:szCs w:val="14"/>
      </w:rPr>
      <w:t xml:space="preserve"> of </w:t>
    </w:r>
    <w:r>
      <w:rPr>
        <w:color w:val="62746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rPr>
        <w:rFonts w:ascii="Instrument Sans" w:cs="Instrument Sans" w:eastAsia="Instrument Sans" w:hAnsi="Instrument Sans"/>
        <w:color w:val="0E8F5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13261D"/>
        <w:sz w:val="19"/>
        <w:szCs w:val="19"/>
        <w:lang w:val="en-GB"/>
      </w:rPr>
    </w:rPrDefault>
    <w:pPrDefault>
      <w:pPr>
        <w:spacing w:after="80" w:line="245"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LAFooter">
    <w:name w:val="ELA Footer"/>
    <w:basedOn w:val="Normal"/>
    <w:rPr>
      <w:color w:val="627469"/>
      <w:sz w:val="14"/>
      <w:szCs w:val="1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3re4rderg2wcq4zivifpd" Type="http://schemas.openxmlformats.org/officeDocument/2006/relationships/hyperlink" Target="https://www.tiktok.com/@lawbyodeh" TargetMode="External"/><Relationship Id="rId_inva6kslswrmuvj-yyjz" Type="http://schemas.openxmlformats.org/officeDocument/2006/relationships/hyperlink" Target="https://www.miopartners.ae/team/ahmed-odeh/" TargetMode="External"/><Relationship Id="rIdkcrzjtmclvktgp5qipqha" Type="http://schemas.openxmlformats.org/officeDocument/2006/relationships/hyperlink" Target="https://web.archive.org/web/20260103084806/https://www.miopartners.ae/team/ahmed-odeh/" TargetMode="External"/><Relationship Id="rIdoefuobpolfxmfuhgz7rzq" Type="http://schemas.openxmlformats.org/officeDocument/2006/relationships/hyperlink" Target="https://www.tiktok.com/@lawbyodeh/video/7507308994151648530" TargetMode="External"/><Relationship Id="rIdmuudzxnc_g84vh8pgmsog" Type="http://schemas.openxmlformats.org/officeDocument/2006/relationships/hyperlink" Target="https://www.tiktok.com/oembed?url=https://www.tiktok.com/@lawbyodeh/video/7507308994151648530" TargetMode="External"/><Relationship Id="rIdrx7i_iiaow7jgovhxlm65" Type="http://schemas.openxmlformats.org/officeDocument/2006/relationships/hyperlink" Target="https://www.tiktok.com/@lawbyodeh/video/7507308994151648530" TargetMode="External"/><Relationship Id="rIdvrdyk3i5rxircuddqveeb" Type="http://schemas.openxmlformats.org/officeDocument/2006/relationships/hyperlink" Target="https://www.tiktok.com/@lawbyodeh" TargetMode="External"/><Relationship Id="rIdtyvlkxpfgc8vcvf_xncb4" Type="http://schemas.openxmlformats.org/officeDocument/2006/relationships/hyperlink" Target="https://legalcover.ae/terms-and-conditions/" TargetMode="External"/><Relationship Id="rIdqdv06sereopcn9as7xu7e" Type="http://schemas.openxmlformats.org/officeDocument/2006/relationships/hyperlink" Target="https://www.linkedin.com/company/legal-cover-uae" TargetMode="External"/><Relationship Id="rIdrimbtbrem1i45sjvppkxm" Type="http://schemas.openxmlformats.org/officeDocument/2006/relationships/hyperlink" Target="https://www.miopartners.ae/" TargetMode="External"/><Relationship Id="rIdpns5wdca-grmlkiuho2fq" Type="http://schemas.openxmlformats.org/officeDocument/2006/relationships/hyperlink" Target="https://web.archive.org/web/20260103085105/https://www.miopartners.ae/" TargetMode="External"/><Relationship Id="rIdapwinxrstvm64bcyilgj5" Type="http://schemas.openxmlformats.org/officeDocument/2006/relationships/hyperlink" Target="https://www.linkedin.com/company/mio-and-partners" TargetMode="External"/><Relationship Id="rIdxivwxxa56rkumisecsv8t" Type="http://schemas.openxmlformats.org/officeDocument/2006/relationships/hyperlink" Target="https://www.miopartners.ae/expertise/criminal/" TargetMode="External"/><Relationship Id="rIdhqmaw9felfepk1y0tv9qr" Type="http://schemas.openxmlformats.org/officeDocument/2006/relationships/hyperlink" Target="https://www.tiktok.com/@lawbyodeh" TargetMode="External"/><Relationship Id="rIdyfdnb5j5v6xlzhuvmqgzu" Type="http://schemas.openxmlformats.org/officeDocument/2006/relationships/hyperlink" Target="https://www.youtube.com/@lawbyodeh/about" TargetMode="External"/><Relationship Id="rIdcr050bx5gqqdu8i9siq0h" Type="http://schemas.openxmlformats.org/officeDocument/2006/relationships/hyperlink" Target="https://lyrawellbeing.ae/" TargetMode="External"/><Relationship Id="rIdob6okieih1c3net1flkzx" Type="http://schemas.openxmlformats.org/officeDocument/2006/relationships/hyperlink" Target="https://lyrawellbeing.ae/faqs/" TargetMode="External"/><Relationship Id="rIdsmdmseplwh-f-d0fuixq-" Type="http://schemas.openxmlformats.org/officeDocument/2006/relationships/hyperlink" Target="https://www.prnewswire.com/news-releases/lyra-health-acquires-icas-world-to-expand-its-mental-health-care-services-globally-301463635.html" TargetMode="External"/><Relationship Id="rIdnmnm-545f6u8idmxpjsna" Type="http://schemas.openxmlformats.org/officeDocument/2006/relationships/hyperlink" Target="https://lyrawellbeing.ae/our-services/" TargetMode="External"/><Relationship Id="rId8toyim5s1r3ptwsdmqcx8" Type="http://schemas.openxmlformats.org/officeDocument/2006/relationships/hyperlink" Target="https://lyrawellbeing.ae/our-services-crisis-management/" TargetMode="External"/><Relationship Id="rIdm0ptjc5-3dlfkbczxc3wd" Type="http://schemas.openxmlformats.org/officeDocument/2006/relationships/hyperlink" Target="https://lyrawellbeing.ae/crisis-resources/" TargetMode="External"/><Relationship Id="rIdymrv67bosrgmesqjt_0um" Type="http://schemas.openxmlformats.org/officeDocument/2006/relationships/hyperlink" Target="https://legalcover.ae/" TargetMode="External"/><Relationship Id="rIdnd_rt4dxpwl38ka8llyvt" Type="http://schemas.openxmlformats.org/officeDocument/2006/relationships/hyperlink" Target="https://legalcover.ae/personal-plans/" TargetMode="External"/><Relationship Id="rIdc_gkawjqq_oia_0kqvmpg" Type="http://schemas.openxmlformats.org/officeDocument/2006/relationships/hyperlink" Target="https://legalcover.ae/" TargetMode="External"/><Relationship Id="rIdnm4cy6im_13uopk59uds5" Type="http://schemas.openxmlformats.org/officeDocument/2006/relationships/hyperlink" Target="https://legalcover.ae/terms-and-conditions/" TargetMode="External"/><Relationship Id="rIdjgtprclryylx2syzofjog" Type="http://schemas.openxmlformats.org/officeDocument/2006/relationships/hyperlink" Target="https://legalcover.ae/contact/" TargetMode="External"/><Relationship Id="rIdw_jf3yzdujfztmydcf6mu" Type="http://schemas.openxmlformats.org/officeDocument/2006/relationships/hyperlink" Target="https://www.lawyers.bh/en/sos" TargetMode="External"/><Relationship Id="rIdlpmxmmyvirjgqc_oispns" Type="http://schemas.openxmlformats.org/officeDocument/2006/relationships/hyperlink" Target="https://www.lawyers.bh/en/about" TargetMode="External"/><Relationship Id="rIdzgqfojmtj7bh0mbwkxytk" Type="http://schemas.openxmlformats.org/officeDocument/2006/relationships/hyperlink" Target="https://www.alarabi.law/en/services/criminal-law" TargetMode="External"/><Relationship Id="rId5guxrsldudthq8fktzl4v" Type="http://schemas.openxmlformats.org/officeDocument/2006/relationships/hyperlink" Target="https://ittihadlegalconsultants.com/lawyers-in-dubai/" TargetMode="External"/><Relationship Id="rIdgemgmsza8otsur1ngfbxb" Type="http://schemas.openxmlformats.org/officeDocument/2006/relationships/hyperlink" Target="https://support.apple.com/guide/iphone/contact-emergency-services-iph3c99374c/ios" TargetMode="External"/><Relationship Id="rIdgrsm6-4pldp_b8qtz5ygz" Type="http://schemas.openxmlformats.org/officeDocument/2006/relationships/hyperlink" Target="https://support.apple.com/en-us/108374" TargetMode="External"/><Relationship Id="rIdeam4xaqv4u3eoe9qqqcod" Type="http://schemas.openxmlformats.org/officeDocument/2006/relationships/hyperlink" Target="https://support.google.com/android/answer/9319337?hl=en" TargetMode="External"/><Relationship Id="rIdd5xh5cyufja45v2_w9-og" Type="http://schemas.openxmlformats.org/officeDocument/2006/relationships/hyperlink" Target="https://www.sukoon.com/-/media/project/sukoon/sukooninsurance/documents/personal/travel/product-information---travel-easy-terms-and-conditions-english.pdf" TargetMode="External"/><Relationship Id="rIdlebz0md6jsvpifkzyf7u5" Type="http://schemas.openxmlformats.org/officeDocument/2006/relationships/hyperlink" Target="https://www.sukoon.com/travel-insurance" TargetMode="External"/><Relationship Id="rIdgvvy-hkhghzdd_pl4vfhv" Type="http://schemas.openxmlformats.org/officeDocument/2006/relationships/hyperlink" Target="https://www.datocms-assets.com/93849/1677841622-card-insurance-benefits-terms-conditions.pdf" TargetMode="External"/><Relationship Id="rIdg9ekxjxnmoqfmlfhnowvb" Type="http://schemas.openxmlformats.org/officeDocument/2006/relationships/hyperlink" Target="https://www.datocms-assets.com/93849/1774869687-amex-nac-policy-wording-uae-platinum-mar26-v3.pdf" TargetMode="External"/><Relationship Id="rIdxl2wz-0uqd-o0sg7b6zdm" Type="http://schemas.openxmlformats.org/officeDocument/2006/relationships/hyperlink" Target="https://www.americanexpress.ae/en-ae/cards/the-platinum-card-aed/" TargetMode="External"/><Relationship Id="rId5lzgnpn3odschybrnv3kg" Type="http://schemas.openxmlformats.org/officeDocument/2006/relationships/hyperlink" Target="https://www.internationalsos.com/locations/uae" TargetMode="External"/><Relationship Id="rId-1kuuftzoaanpakyumzmn" Type="http://schemas.openxmlformats.org/officeDocument/2006/relationships/hyperlink" Target="https://www.uiw.edu/studyabroad/_docs/isosservices.pdf" TargetMode="External"/><Relationship Id="rIdli3tvbm65fio1epeayj2k" Type="http://schemas.openxmlformats.org/officeDocument/2006/relationships/hyperlink" Target="https://www.gov.uk/guidance/arrested-or-detained-abroad" TargetMode="External"/><Relationship Id="rIdigbhngoopybzpmk1sf_gp" Type="http://schemas.openxmlformats.org/officeDocument/2006/relationships/hyperlink" Target="https://www.gov.uk/guidance/arrested-or-in-prison-in-the-united-arab-emirates-uae" TargetMode="External"/><Relationship Id="rIdjmsjxin5bqu6fd336za9b" Type="http://schemas.openxmlformats.org/officeDocument/2006/relationships/hyperlink" Target="https://web.archive.org/web/20260709012511/https://travel.state.gov/content/travel/en/international-travel/International-Travel-Country-Information-Pages/UnitedArabEmirates.html" TargetMode="External"/><Relationship Id="rIdcnqn8mr7pokonffono5dt" Type="http://schemas.openxmlformats.org/officeDocument/2006/relationships/hyperlink" Target="https://travel.state.gov/content/travel/en/international-travel/International-Travel-Country-Information-Pages/UnitedArabEmirates.html" TargetMode="External"/><Relationship Id="rIdlycdernagepa7jrzks_3f" Type="http://schemas.openxmlformats.org/officeDocument/2006/relationships/hyperlink" Target="https://web.archive.org/web/20260827221758/https://www.legalshield.com/faq" TargetMode="External"/><Relationship Id="rIdd6fr-usvnzf6qe0gutb16" Type="http://schemas.openxmlformats.org/officeDocument/2006/relationships/hyperlink" Target="https://web.archive.org/web/20260808143533/https://www.legalshield.com/pricing" TargetMode="External"/><Relationship Id="rIdpvaygkgeqvveaskzxl4hq" Type="http://schemas.openxmlformats.org/officeDocument/2006/relationships/hyperlink" Target="https://www.legalshield.com/faq" TargetMode="External"/><Relationship Id="rIdymowuetdej2pqjihzrznn" Type="http://schemas.openxmlformats.org/officeDocument/2006/relationships/hyperlink" Target="https://www.emiratesnbd.com/-/media/enbd/files/promotions/2023/travel_insurance_tc.pdf" TargetMode="External"/><Relationship Id="rIdmvdnifxjl6amhuemw90qb" Type="http://schemas.openxmlformats.org/officeDocument/2006/relationships/hyperlink" Target="https://lyrawellbeing.ae/our-services/" TargetMode="External"/><Relationship Id="rIdjki_f8avr8yasmfpyhkpc" Type="http://schemas.openxmlformats.org/officeDocument/2006/relationships/hyperlink" Target="https://www.metlife.ae/en/WellnessHub/eapemployee/" TargetMode="External"/><Relationship Id="rIdkutxhjvvtlju9fmgtjn4r" Type="http://schemas.openxmlformats.org/officeDocument/2006/relationships/hyperlink" Target="https://www.moj.gov.ae/assets/d984aaa6/federal-decree-law-no-34-of-2022-regulating-the-legal-profession-and-legal-consultation-638441976591014059.aspx" TargetMode="External"/><Relationship Id="rIdphdgo6_yehzkplt5cgdoa" Type="http://schemas.openxmlformats.org/officeDocument/2006/relationships/hyperlink" Target="https://www.moj.gov.ae/assets/d984aaa6/federal-decree-law-no-34-of-2022-regulating-the-legal-profession-and-legal-consultation-638441976591014059.aspx" TargetMode="External"/><Relationship Id="rIdoedfjs9fuzscvuy39yn7s" Type="http://schemas.openxmlformats.org/officeDocument/2006/relationships/hyperlink" Target="https://www.moj.gov.ae/assets/d984aaa6/federal-decree-law-no-34-of-2022-regulating-the-legal-profession-and-legal-consultation-638441976591014059.aspx" TargetMode="External"/><Relationship Id="rIdrkjaspgk7o5fkkuj-emrv" Type="http://schemas.openxmlformats.org/officeDocument/2006/relationships/hyperlink" Target="https://rulebook.centralbank.ae/en/rulebook/article-61-licensed-financial-activities" TargetMode="External"/><Relationship Id="rIdnczd4ntv04r3gxtrjufyj" Type="http://schemas.openxmlformats.org/officeDocument/2006/relationships/hyperlink" Target="https://rulebook.centralbank.ae/en/rulebook/article-1-definitions-73" TargetMode="External"/><Relationship Id="rIdkaopr280cnopgryd_xtga" Type="http://schemas.openxmlformats.org/officeDocument/2006/relationships/hyperlink" Target="https://developer.apple.com/app-store/subscriptions/" TargetMode="External"/><Relationship Id="rIdbn7x_qqe2grcbtb3az2hy" Type="http://schemas.openxmlformats.org/officeDocument/2006/relationships/hyperlink" Target="https://developer.apple.com/support/terms/apple-developer-program-license-agreement/" TargetMode="External"/><Relationship Id="rIdvlbulilnu2l9limpkzsnw" Type="http://schemas.openxmlformats.org/officeDocument/2006/relationships/hyperlink" Target="https://developer.apple.com/app-store/small-business-program/" TargetMode="External"/><Relationship Id="rIdiljy0o_qni4u6scsss4n2" Type="http://schemas.openxmlformats.org/officeDocument/2006/relationships/hyperlink" Target="https://developer.apple.com/support/terms/apple-developer-program-license-agreement/" TargetMode="External"/><Relationship Id="rIdafpkyaofjknbyuhxaghev" Type="http://schemas.openxmlformats.org/officeDocument/2006/relationships/hyperlink" Target="https://u.ae/en/information-and-services/finance-and-investment/taxation/vat/valueaddedtaxvat" TargetMode="External"/><Relationship Id="rIdlpzj7ouf5aarpfsh4h3ha" Type="http://schemas.openxmlformats.org/officeDocument/2006/relationships/hyperlink" Target="https://mof.gov.ae/en/public-finance/tax/vat/" TargetMode="External"/><Relationship Id="rId9xxqqthmjpmkimjun820f" Type="http://schemas.openxmlformats.org/officeDocument/2006/relationships/hyperlink" Target="https://developer.apple.com/support/terms/apple-developer-program-license-agreement/" TargetMode="External"/><Relationship Id="rIdat2uwhkqx_miompl5dxb1" Type="http://schemas.openxmlformats.org/officeDocument/2006/relationships/hyperlink" Target="https://www.ecb.europa.eu/stats/eurofxref/eurofxref-hist-90d.xml" TargetMode="External"/><Relationship Id="rIdnaghdfeidbgyaxo0opdfj" Type="http://schemas.openxmlformats.org/officeDocument/2006/relationships/hyperlink" Target="https://www.ecb.europa.eu/stats/policy_and_exchange_rates/euro_reference_exchange_rates/html/eurofxref-graph-usd.en.html" TargetMode="External"/><Relationship Id="rIdtxjofmxpxjjzwjht-u8ra" Type="http://schemas.openxmlformats.org/officeDocument/2006/relationships/hyperlink" Target="https://www.ecb.europa.eu/stats/eurofxref/eurofxref-hist-90d.xml" TargetMode="External"/><Relationship Id="rIdg-9ubpgs3hn386nennsbn" Type="http://schemas.openxmlformats.org/officeDocument/2006/relationships/hyperlink" Target="https://www.ecb.europa.eu/stats/policy_and_exchange_rates/euro_reference_exchange_rates/html/eurofxref-graph-gbp.en.html" TargetMode="External"/><Relationship Id="rIdil8f33wivygl8aoiglcvz" Type="http://schemas.openxmlformats.org/officeDocument/2006/relationships/hyperlink" Target="https://www.centralbank.ae/media/e44dkkze/cbuae-annual-report-2014-en.pdf" TargetMode="External"/><Relationship Id="rIdrrfaw0fvfbcmwcz_ccpq3" Type="http://schemas.openxmlformats.org/officeDocument/2006/relationships/hyperlink" Target="https://www.centralbank.ae/media/vj5boxwl/fx_sep25_en.pdf" TargetMode="External"/><Relationship Id="rIdd4lo6wqzlzmnqsp4frn1c" Type="http://schemas.openxmlformats.org/officeDocument/2006/relationships/hyperlink" Target="https://www.accelerance.com/blog/2026-outsourcing-rate-trends-asia-europe-latam" TargetMode="External"/><Relationship Id="rIdb8jqyv9bxgpfaxrjpnp-_" Type="http://schemas.openxmlformats.org/officeDocument/2006/relationships/hyperlink" Target="https://northdan.com/en/pricing/developer-hourly-rates-romania/" TargetMode="External"/><Relationship Id="rIdfpeet6vsoef8r2vqz665o" Type="http://schemas.openxmlformats.org/officeDocument/2006/relationships/hyperlink" Target="https://clutch.co/ro/developers" TargetMode="External"/><Relationship Id="rIduiv-cqkbgvkwx9jxale3k" Type="http://schemas.openxmlformats.org/officeDocument/2006/relationships/hyperlink" Target="https://www.robertwalters.ae/content/dam/robert-walters-redesign/country/middle-east/files/reports---e-guides-2026/Robert%20Walters%20Middle%20East%20Salary%20Survey%202026.pdf" TargetMode="External"/><Relationship Id="rId3c1sfhu4md1hlymxzqxtz" Type="http://schemas.openxmlformats.org/officeDocument/2006/relationships/hyperlink" Target="https://www.charterhouseme.ae/salary-levels-2026" TargetMode="External"/><Relationship Id="rIdj_gvutkqghytkot4q7yha" Type="http://schemas.openxmlformats.org/officeDocument/2006/relationships/hyperlink" Target="https://www.hays.ae/documents/d/hays-salary-guide-ae/hays-gcc-salary-guide-2025-1" TargetMode="External"/><Relationship Id="rIdickovjl0truvkyyqexyto" Type="http://schemas.openxmlformats.org/officeDocument/2006/relationships/hyperlink" Target="https://cooperfitch.ae/wp-content/uploads/2024/12/Salary-Guide-UAE-2025-Cooper-Fitch.pdf" TargetMode="External"/><Relationship Id="rIdi3ek77l56i2kemicat5du" Type="http://schemas.openxmlformats.org/officeDocument/2006/relationships/hyperlink" Target="https://i0.1616.ro/media/2/2621/33243/21962471/7/hays-romania-salary-guide-2025.pdf" TargetMode="External"/><Relationship Id="rId8" Type="http://schemas.openxmlformats.org/officeDocument/2006/relationships/image" Target="media/f64c1ffb9080891621a92d14937081f814d86878.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sources and references</dc:title>
  <dc:subject>Checked 1-2 October 2026</dc:subject>
  <dc:creator>ELA</dc:creator>
  <cp:lastModifiedBy>ELA</cp:lastModifiedBy>
  <cp:revision>1</cp:revision>
  <dcterms:created xsi:type="dcterms:W3CDTF">2026-10-02T09:31:38.400Z</dcterms:created>
  <dcterms:modified xsi:type="dcterms:W3CDTF">2026-10-02T09:31:38.400Z</dcterms:modified>
</cp:coreProperties>
</file>

<file path=docProps/custom.xml><?xml version="1.0" encoding="utf-8"?>
<Properties xmlns="http://schemas.openxmlformats.org/officeDocument/2006/custom-properties" xmlns:vt="http://schemas.openxmlformats.org/officeDocument/2006/docPropsVTypes"/>
</file>