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0"/>
        <w:gridCol w:w="5600"/>
        <w:gridCol w:w="3506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40" w:lineRule="auto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ELA icon" descr="ELA app icon" title="E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13261D"/>
                <w:sz w:val="44"/>
                <w:szCs w:val="44"/>
              </w:rPr>
              <w:t xml:space="preserve">ELA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9"/>
                <w:szCs w:val="19"/>
              </w:rPr>
              <w:t xml:space="preserve">Emergency Legal Assistance</w:t>
            </w:r>
          </w:p>
        </w:tc>
        <w:tc>
          <w:tcPr>
            <w:tcW w:type="dxa" w:w="3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line="240" w:lineRule="auto"/>
              <w:jc w:val="right"/>
            </w:pPr>
            <w:commentRangeStart w:id="0"/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9"/>
                <w:szCs w:val="19"/>
              </w:rPr>
              <w:t xml:space="preserve">Investor teaser</w:t>
            </w:r>
            <w:commentRangeEnd w:id="0"/>
            <w:r>
              <w:commentReference w:id="0"/>
            </w:r>
          </w:p>
          <w:p>
            <w:pPr>
              <w:spacing w:after="0" w:line="240" w:lineRule="auto"/>
              <w:jc w:val="right"/>
            </w:pPr>
            <w:r>
              <w:rPr>
                <w:rFonts w:ascii="Instrument Sans" w:cs="Instrument Sans" w:eastAsia="Instrument Sans" w:hAnsi="Instrument Sans"/>
                <w:color w:val="627469"/>
                <w:sz w:val="16"/>
                <w:szCs w:val="16"/>
              </w:rPr>
              <w:t xml:space="preserve">October 2026  ·  Confidential</w:t>
            </w:r>
          </w:p>
        </w:tc>
      </w:tr>
    </w:tbl>
    <w:p>
      <w:pPr>
        <w:pBdr>
          <w:bottom w:val="single" w:color="0E8F5C" w:sz="12" w:space="1"/>
        </w:pBdr>
        <w:spacing w:after="160" w:before="60" w:line="120" w:lineRule="auto"/>
      </w:pPr>
    </w:p>
    <w:p>
      <w:pPr>
        <w:spacing w:after="60" w:line="240" w:lineRule="auto"/>
      </w:pPr>
      <w:r>
        <w:rPr>
          <w:rFonts w:ascii="Bricolage Grotesque SemiBold" w:cs="Bricolage Grotesque SemiBold" w:eastAsia="Bricolage Grotesque SemiBold" w:hAnsi="Bricolage Grotesque SemiBold"/>
          <w:color w:val="13261D"/>
          <w:sz w:val="32"/>
          <w:szCs w:val="32"/>
        </w:rPr>
        <w:t xml:space="preserve">A legal emergency membership for UAE residents.</w:t>
      </w:r>
    </w:p>
    <w:p>
      <w:pPr>
        <w:spacing w:after="220" w:line="250" w:lineRule="auto"/>
      </w:pPr>
      <w:r>
        <w:rPr>
          <w:rFonts w:ascii="Instrument Sans" w:cs="Instrument Sans" w:eastAsia="Instrument Sans" w:hAnsi="Instrument Sans"/>
          <w:color w:val="4A5E53"/>
          <w:sz w:val="22"/>
          <w:szCs w:val="22"/>
        </w:rPr>
        <w:t xml:space="preserve">One three-second hold sends for a lawyer, tells the consulate and alerts family.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00"/>
        <w:gridCol w:w="260"/>
        <w:gridCol w:w="3906"/>
      </w:tblGrid>
      <w:tr>
        <w:trPr>
          <w:cantSplit/>
        </w:trPr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The problem</w:t>
            </w:r>
          </w:p>
          <w:p>
            <w:pPr>
              <w:spacing w:after="90" w:before="0" w:line="245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The UAE runs on people who were not born here. When one of them is arrested or detained, the first hour has a simple problem: no lawyer is coming, the consulate has not been told, and the family is waiting for a call.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The solution</w:t>
            </w:r>
          </w:p>
          <w:p>
            <w:pPr>
              <w:spacing w:after="90" w:before="0" w:line="245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ELA is a legal emergency membership for that first hour. A vetted UAE law firm is sent for, the consulate and family are told, and our response team runs the case from start to finish.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How it works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The member holds the emergency button for three seconds, on iPhone, Android or Apple Watch.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Once the hold commits, the response runs on our servers: a vetted UAE law firm takes the case, the consulate is told, and a trusted contact gets a private live link.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90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Our response team follows the member’s live location and stays in touch by chat and voice notes.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Where we are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Working product on TestFlight, running end to end on our production servers in test mode.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About 4-6 weeks of launch work left. The critical path is the messaging setup and the law-firm agreement.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Insurance add-on agreed in principle with </w:t>
            </w:r>
            <w:commentRangeStart w:id="1"/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a major broker and insurer</w:t>
            </w:r>
            <w:commentRangeEnd w:id="1"/>
            <w:r>
              <w:commentReference w:id="1"/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.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53"/>
              <w:gridCol w:w="1953"/>
            </w:tblGrid>
            <w:tr>
              <w:trPr>
                <w:cantSplit/>
              </w:trPr>
              <w:tc>
                <w:tcPr>
                  <w:tcW w:type="dxa" w:w="19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 w:line="240" w:lineRule="auto"/>
                    <w:jc w:val="center"/>
                  </w:pPr>
                  <w:r>
                    <w:drawing>
                      <wp:inline distT="0" distB="0" distL="0" distR="0">
                        <wp:extent cx="1181100" cy="2571750"/>
                        <wp:effectExtent t="0" r="0" b="0" l="0"/>
                        <wp:docPr id="2" name="Hold to arm" descr="Hold to arm" title="Hold to ar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2571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Instrument Sans" w:cs="Instrument Sans" w:eastAsia="Instrument Sans" w:hAnsi="Instrument Sans"/>
                      <w:color w:val="4A5E53"/>
                      <w:sz w:val="15"/>
                      <w:szCs w:val="15"/>
                    </w:rPr>
                    <w:t xml:space="preserve">Hold to arm</w:t>
                  </w:r>
                </w:p>
              </w:tc>
              <w:tc>
                <w:tcPr>
                  <w:tcW w:type="dxa" w:w="19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 w:line="240" w:lineRule="auto"/>
                    <w:jc w:val="center"/>
                  </w:pPr>
                  <w:r>
                    <w:drawing>
                      <wp:inline distT="0" distB="0" distL="0" distR="0">
                        <wp:extent cx="1181100" cy="2571750"/>
                        <wp:effectExtent t="0" r="0" b="0" l="0"/>
                        <wp:docPr id="3" name="The response, live" descr="The response, live" title="The response, liv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2571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Instrument Sans" w:cs="Instrument Sans" w:eastAsia="Instrument Sans" w:hAnsi="Instrument Sans"/>
                      <w:color w:val="4A5E53"/>
                      <w:sz w:val="15"/>
                      <w:szCs w:val="15"/>
                    </w:rPr>
                    <w:t xml:space="preserve">The response, live</w:t>
                  </w:r>
                </w:p>
              </w:tc>
            </w:tr>
          </w:tbl>
          <w:p>
            <w:pPr>
              <w:spacing w:after="140" w:line="120" w:lineRule="auto"/>
            </w:pPr>
          </w:p>
          <w:tbl>
            <w:tblPr>
              <w:tblW w:type="dxa" w:w="3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6"/>
            </w:tblGrid>
            <w:tr>
              <w:trPr>
                <w:cantSplit/>
              </w:trPr>
              <w:tc>
                <w:tcPr>
                  <w:tcW w:type="dxa" w:w="3906"/>
                  <w:tcBorders>
                    <w:top w:val="none" w:color="FFFFFF" w:sz="0"/>
                    <w:left w:val="single" w:color="0E8F5C" w:sz="18"/>
                    <w:bottom w:val="none" w:color="FFFFFF" w:sz="0"/>
                    <w:right w:val="none" w:color="FFFFFF" w:sz="0"/>
                  </w:tcBorders>
                  <w:shd w:fill="F2F6F2" w:color="auto" w:val="clear"/>
                  <w:tcMar>
                    <w:top w:type="dxa" w:w="100"/>
                    <w:left w:type="dxa" w:w="150"/>
                    <w:bottom w:type="dxa" w:w="100"/>
                    <w:right w:type="dxa" w:w="120"/>
                  </w:tcMar>
                  <w:vAlign w:val="top"/>
                </w:tcPr>
                <w:p>
                  <w:pPr>
                    <w:spacing w:after="0" w:line="240" w:lineRule="auto"/>
                  </w:pPr>
                  <w:commentRangeStart w:id="2"/>
                  <w:r>
                    <w:rPr>
                      <w:rFonts w:ascii="Instrument Sans" w:cs="Instrument Sans" w:eastAsia="Instrument Sans" w:hAnsi="Instrument Sans"/>
                      <w:color w:val="13261D"/>
                      <w:sz w:val="16"/>
                      <w:szCs w:val="16"/>
                    </w:rPr>
                    <w:t xml:space="preserve">Our 1 October scan found no product in the UAE or the Gulf where one button sends for a lawyer, the consulate and family. Today people pay a firm per case.</w:t>
                  </w:r>
                  <w:commentRangeEnd w:id="2"/>
                  <w:r>
                    <w:commentReference w:id="2"/>
                  </w:r>
                </w:p>
              </w:tc>
            </w:tr>
          </w:tbl>
          <w:p/>
        </w:tc>
      </w:tr>
    </w:tbl>
    <w:p>
      <w:pPr>
        <w:spacing w:after="260" w:line="120" w:lineRule="auto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83"/>
        <w:gridCol w:w="300"/>
        <w:gridCol w:w="4783"/>
      </w:tblGrid>
      <w:tr>
        <w:trPr>
          <w:cantSplit/>
        </w:trPr>
        <w:tc>
          <w:tcPr>
            <w:tcW w:type="dxa" w:w="4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How ELA earns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Membership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through the App Store: AED 24.99 a week, 79.99 a month or 749.99 a year.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Insurance add-on: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legal fees up to AED 100,000 and bail up to AED 50,000 a claim, for AED 3,000 per adult a year. ELA earns 10% of the premium.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Legal referral: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</w:t>
            </w:r>
            <w:commentRangeStart w:id="3"/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10% of the legal fees on the cases ELA sends to its law firm.</w:t>
            </w:r>
            <w:commentRangeEnd w:id="3"/>
            <w:r>
              <w:commentReference w:id="3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Routes to market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Individuals,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through social media and legal content creators.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Employers and SMEs: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company-paid seats for resident staff.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Embassies and consulates: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every dispatch alerts the member’s consulate.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Partners: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wellbeing providers, insurers, banks and card issuers.</w:t>
            </w:r>
          </w:p>
        </w:tc>
      </w:tr>
    </w:tbl>
    <w:p>
      <w:pPr>
        <w:spacing w:after="300" w:line="120" w:lineRule="auto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220"/>
        <w:gridCol w:w="2413"/>
        <w:gridCol w:w="220"/>
        <w:gridCol w:w="2413"/>
      </w:tblGrid>
      <w:tr>
        <w:trPr>
          <w:cantSplit/>
        </w:trPr>
        <w:tc>
          <w:tcPr>
            <w:tcW w:type="dxa" w:w="4600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Year one, company model</w:t>
            </w:r>
          </w:p>
          <w:tbl>
            <w:tblPr>
              <w:tblW w:type="dxa" w:w="4300"/>
              <w:tblBorders>
                <w:top w:val="single" w:color="AFC1B5" w:sz="6"/>
                <w:left w:val="none" w:color="FFFFFF" w:sz="0"/>
                <w:bottom w:val="single" w:color="AFC1B5" w:sz="6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20"/>
              <w:gridCol w:w="960"/>
              <w:gridCol w:w="960"/>
              <w:gridCol w:w="960"/>
            </w:tblGrid>
            <w:tr>
              <w:trPr>
                <w:cantSplit/>
                <w:tblHeader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Low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Base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High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Members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100,000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300,000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500,000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commentRangeStart w:id="4"/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Revenue</w:t>
                  </w:r>
                  <w:commentRangeEnd w:id="4"/>
                  <w:r>
                    <w:commentReference w:id="4"/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70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210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350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Costs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4.6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4.6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4.6</w:t>
                  </w:r>
                </w:p>
              </w:tc>
            </w:tr>
          </w:tbl>
          <w:p>
            <w:pPr>
              <w:spacing w:after="0" w:before="50" w:line="235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5"/>
                <w:szCs w:val="15"/>
              </w:rPr>
              <w:t xml:space="preserve">Revenue and costs in AED millions. Our own assumptions from the July 2026 plan, not a forecast.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413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spacing w:after="3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0B7549"/>
                <w:sz w:val="36"/>
                <w:szCs w:val="36"/>
              </w:rPr>
              <w:t xml:space="preserve">AED 7M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6"/>
                <w:szCs w:val="16"/>
              </w:rPr>
              <w:t xml:space="preserve">The raise, about USD 1.9M: the AED 4.62M year-one budget plus AED 2.38M contingency. About 18 months of runway.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413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spacing w:after="3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0B7549"/>
                <w:sz w:val="36"/>
                <w:szCs w:val="36"/>
              </w:rPr>
              <w:t xml:space="preserve">AED 195k+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6"/>
                <w:szCs w:val="16"/>
              </w:rPr>
              <w:t xml:space="preserve">COO time and cash invested so far, as sweat equity. The CEO’s time is still to be added.</w:t>
            </w:r>
          </w:p>
        </w:tc>
      </w:tr>
    </w:tbl>
    <w:p>
      <w:pPr>
        <w:spacing w:after="320" w:line="120" w:lineRule="auto"/>
      </w:pPr>
    </w:p>
    <w:p>
      <w:pPr>
        <w:pBdr>
          <w:top w:val="single" w:color="D3DDD6" w:sz="4" w:space="8"/>
        </w:pBdr>
        <w:spacing w:after="40" w:line="245" w:lineRule="auto"/>
      </w:pPr>
      <w:r>
        <w:rPr>
          <w:rFonts w:ascii="Instrument Sans SemiBold" w:cs="Instrument Sans SemiBold" w:eastAsia="Instrument Sans SemiBold" w:hAnsi="Instrument Sans SemiBold"/>
          <w:color w:val="13261D"/>
          <w:sz w:val="18"/>
          <w:szCs w:val="18"/>
        </w:rPr>
        <w:t xml:space="preserve">Team</w:t>
      </w:r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   Jonathan Simpson, CEO  ·  Stevan Litobac, COO  ·  Advisors: Shaz Khan, Andrew Trower, Anna</w:t>
      </w:r>
    </w:p>
    <w:p>
      <w:pPr>
        <w:spacing w:after="0" w:line="245" w:lineRule="auto"/>
      </w:pPr>
      <w:r>
        <w:rPr>
          <w:rFonts w:ascii="Instrument Sans SemiBold" w:cs="Instrument Sans SemiBold" w:eastAsia="Instrument Sans SemiBold" w:hAnsi="Instrument Sans SemiBold"/>
          <w:color w:val="13261D"/>
          <w:sz w:val="18"/>
          <w:szCs w:val="18"/>
        </w:rPr>
        <w:t xml:space="preserve">Contact</w:t>
      </w:r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   </w:t>
      </w:r>
      <w:commentRangeStart w:id="5"/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ela.now</w:t>
      </w:r>
      <w:commentRangeEnd w:id="5"/>
      <w:r>
        <w:commentReference w:id="5"/>
      </w:r>
    </w:p>
    <w:sectPr>
      <w:footerReference w:type="default" r:id="rId7"/>
      <w:pgSz w:w="11906" w:h="16838" w:orient="portrait"/>
      <w:pgMar w:top="850" w:right="1020" w:bottom="800" w:left="1020" w:header="425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DN" w:author="Draft note" w:date="2026-10-02T09:00:00.000Z">
    <w:p>
      <w:r>
        <w:rPr>
          <w:sz w:val="18"/>
          <w:szCs w:val="18"/>
        </w:rPr>
        <w:t xml:space="preserve">Rebuilt from the plan draft of 2 October. Its numbers follow the plan, so they change if Jon revises the subscriber cases or the insurance terms.</w:t>
      </w:r>
    </w:p>
  </w:comment>
  <w:comment w:id="1" w:initials="DN" w:author="Draft note" w:date="2026-10-02T09:00:00.000Z">
    <w:p>
      <w:r>
        <w:rPr>
          <w:sz w:val="18"/>
          <w:szCs w:val="18"/>
        </w:rPr>
        <w:t xml:space="preserve">The plan names Howden and AIG. They are left unnamed here until they commit; name them if Jon is happy to.</w:t>
      </w:r>
    </w:p>
  </w:comment>
  <w:comment w:id="2" w:initials="DN" w:author="Draft note" w:date="2026-10-02T09:00:00.000Z">
    <w:p>
      <w:r>
        <w:rPr>
          <w:sz w:val="18"/>
          <w:szCs w:val="18"/>
        </w:rPr>
        <w:t xml:space="preserve">From the competitor scan of 1 October 2026, with its claims checked at source; see the plan, section 8. Limits: English-language searches; Arabic searches for Saudi Arabia and Kuwait were not run.</w:t>
      </w:r>
    </w:p>
  </w:comment>
  <w:comment w:id="3" w:initials="DN" w:author="Draft note" w:date="2026-10-02T09:00:00.000Z">
    <w:p>
      <w:r>
        <w:rPr>
          <w:sz w:val="18"/>
          <w:szCs w:val="18"/>
        </w:rPr>
        <w:t xml:space="preserve">Hold this line until the legal question is settled: a per-case commission from the firm may breach Federal Decree-Law 34 of 2022, Art. 101 (see the plan, section 8). Remove it, or reword it to the agreed structure, before the teaser goes out.</w:t>
      </w:r>
    </w:p>
  </w:comment>
  <w:comment w:id="4" w:initials="DN" w:author="Draft note" w:date="2026-10-02T09:00:00.000Z">
    <w:p>
      <w:r>
        <w:rPr>
          <w:sz w:val="18"/>
          <w:szCs w:val="18"/>
        </w:rPr>
        <w:t xml:space="preserve">Membership counted at the annual App Store price after VAT and Apple (AED 500 a year), plus 10% of insurance premiums for half of members, plus legal referral fees. Plan, section 5.</w:t>
      </w:r>
    </w:p>
  </w:comment>
  <w:comment w:id="5" w:initials="OI" w:author="Open item" w:date="2026-10-02T09:00:00.000Z">
    <w:p>
      <w:r>
        <w:rPr>
          <w:sz w:val="18"/>
          <w:szCs w:val="18"/>
        </w:rPr>
        <w:t xml:space="preserve">Whose contact details go on the teaser: name, email and phone?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strument Sans">
    <w:family w:val="auto"/>
    <w:pitch w:val="variable"/>
    <w:sig w:usb0="E0002AFF" w:usb1="C000247B" w:usb2="00000009" w:usb3="00000000" w:csb0="000001FF" w:csb1="00000000"/>
    <w:embedRegular r:id="rId1" w:fontKey="{955E3677-50BE-B8E3-839A-69DCC2E2C06C}"/>
  </w:font>
  <w:font w:name="Instrument Sans SemiBold">
    <w:family w:val="auto"/>
    <w:pitch w:val="variable"/>
    <w:sig w:usb0="E0002AFF" w:usb1="C000247B" w:usb2="00000009" w:usb3="00000000" w:csb0="000001FF" w:csb1="00000000"/>
    <w:embedRegular r:id="rId2" w:fontKey="{6E2074EC-6B66-0C62-04B6-B8A2CEC3B944}"/>
  </w:font>
  <w:font w:name="Bricolage Grotesque SemiBold">
    <w:family w:val="auto"/>
    <w:pitch w:val="variable"/>
    <w:sig w:usb0="E0002AFF" w:usb1="C000247B" w:usb2="00000009" w:usb3="00000000" w:csb0="000001FF" w:csb1="00000000"/>
    <w:embedRegular r:id="rId3" w:fontKey="{F233CF2F-D218-8CCD-7067-1EC111DE1F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ELAFooter"/>
      <w:spacing w:after="0"/>
    </w:pPr>
    <w:r>
      <w:rPr>
        <w:color w:val="627469"/>
        <w:sz w:val="14"/>
        <w:szCs w:val="14"/>
      </w:rPr>
      <w:t xml:space="preserve">ELA investor teaser  ·  Draft, 2 October 2026  ·  Confidential: not for onward distribution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  <w:rPr>
        <w:rFonts w:ascii="Instrument Sans" w:cs="Instrument Sans" w:eastAsia="Instrument Sans" w:hAnsi="Instrument Sans"/>
        <w:color w:val="0E8F5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strument Sans" w:cs="Instrument Sans" w:eastAsia="Instrument Sans" w:hAnsi="Instrument Sans"/>
        <w:color w:val="13261D"/>
        <w:sz w:val="18"/>
        <w:szCs w:val="18"/>
        <w:lang w:val="en-GB"/>
      </w:rPr>
    </w:rPrDefault>
    <w:pPrDefault>
      <w:pPr>
        <w:spacing w:after="80" w:line="245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LAFooter">
    <w:name w:val="ELA Footer"/>
    <w:basedOn w:val="Normal"/>
    <w:rPr>
      <w:color w:val="627469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f64c1ffb9080891621a92d14937081f814d86878.png"/><Relationship Id="rId10" Type="http://schemas.openxmlformats.org/officeDocument/2006/relationships/image" Target="media/2065f8dbb8c19a796aad970d83dc592d8cc87e57.png"/><Relationship Id="rId11" Type="http://schemas.openxmlformats.org/officeDocument/2006/relationships/image" Target="media/83cdc34730e3d2067b452b1ae08d03e15079dbf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 investor teaser</dc:title>
  <dc:subject>Draft, 2 October 2026</dc:subject>
  <dc:creator>ELA</dc:creator>
  <cp:lastModifiedBy>ELA</cp:lastModifiedBy>
  <cp:revision>1</cp:revision>
  <dcterms:created xsi:type="dcterms:W3CDTF">2026-10-02T09:16:45.159Z</dcterms:created>
  <dcterms:modified xsi:type="dcterms:W3CDTF">2026-10-02T09:16:45.160Z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