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0"/>
        <w:gridCol w:w="5600"/>
        <w:gridCol w:w="3506"/>
      </w:tblGrid>
      <w:tr>
        <w:trPr>
          <w:cantSplit/>
        </w:trPr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line="240" w:lineRule="auto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ELA icon" descr="ELA app icon" title="E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Bricolage Grotesque SemiBold" w:cs="Bricolage Grotesque SemiBold" w:eastAsia="Bricolage Grotesque SemiBold" w:hAnsi="Bricolage Grotesque SemiBold"/>
                <w:color w:val="13261D"/>
                <w:sz w:val="44"/>
                <w:szCs w:val="44"/>
              </w:rPr>
              <w:t xml:space="preserve">ELA</w:t>
            </w:r>
          </w:p>
          <w:p>
            <w:pPr>
              <w:spacing w:after="0" w:line="240" w:lineRule="auto"/>
            </w:pPr>
            <w:r>
              <w:rPr>
                <w:rFonts w:ascii="Instrument Sans" w:cs="Instrument Sans" w:eastAsia="Instrument Sans" w:hAnsi="Instrument Sans"/>
                <w:color w:val="4A5E53"/>
                <w:sz w:val="19"/>
                <w:szCs w:val="19"/>
              </w:rPr>
              <w:t xml:space="preserve">Emergency Legal Assistance</w:t>
            </w:r>
          </w:p>
        </w:tc>
        <w:tc>
          <w:tcPr>
            <w:tcW w:type="dxa" w:w="3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line="240" w:lineRule="auto"/>
              <w:jc w:val="right"/>
            </w:pPr>
            <w:commentRangeStart w:id="0"/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9"/>
                <w:szCs w:val="19"/>
              </w:rPr>
              <w:t xml:space="preserve">Investor teaser</w:t>
            </w:r>
            <w:commentRangeEnd w:id="0"/>
            <w:r>
              <w:commentReference w:id="0"/>
            </w:r>
          </w:p>
          <w:p>
            <w:pPr>
              <w:spacing w:after="0" w:line="240" w:lineRule="auto"/>
              <w:jc w:val="right"/>
            </w:pPr>
            <w:r>
              <w:rPr>
                <w:rFonts w:ascii="Instrument Sans" w:cs="Instrument Sans" w:eastAsia="Instrument Sans" w:hAnsi="Instrument Sans"/>
                <w:color w:val="627469"/>
                <w:sz w:val="16"/>
                <w:szCs w:val="16"/>
              </w:rPr>
              <w:t xml:space="preserve">October 2026  ·  Confidential</w:t>
            </w:r>
          </w:p>
        </w:tc>
      </w:tr>
    </w:tbl>
    <w:p>
      <w:pPr>
        <w:pBdr>
          <w:bottom w:val="single" w:color="0E8F5C" w:sz="12" w:space="1"/>
        </w:pBdr>
        <w:spacing w:after="160" w:before="60" w:line="120" w:lineRule="auto"/>
      </w:pPr>
    </w:p>
    <w:p>
      <w:pPr>
        <w:spacing w:after="60" w:line="240" w:lineRule="auto"/>
      </w:pPr>
      <w:r>
        <w:rPr>
          <w:rFonts w:ascii="Bricolage Grotesque SemiBold" w:cs="Bricolage Grotesque SemiBold" w:eastAsia="Bricolage Grotesque SemiBold" w:hAnsi="Bricolage Grotesque SemiBold"/>
          <w:color w:val="13261D"/>
          <w:sz w:val="32"/>
          <w:szCs w:val="32"/>
        </w:rPr>
        <w:t xml:space="preserve">A legal emergency membership for UAE residents.</w:t>
      </w:r>
    </w:p>
    <w:p>
      <w:pPr>
        <w:spacing w:after="220" w:line="250" w:lineRule="auto"/>
      </w:pPr>
      <w:r>
        <w:rPr>
          <w:rFonts w:ascii="Instrument Sans" w:cs="Instrument Sans" w:eastAsia="Instrument Sans" w:hAnsi="Instrument Sans"/>
          <w:color w:val="4A5E53"/>
          <w:sz w:val="22"/>
          <w:szCs w:val="22"/>
        </w:rPr>
        <w:t xml:space="preserve">One three-second hold sends for a lawyer, tells the consulate and alerts family.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00"/>
        <w:gridCol w:w="260"/>
        <w:gridCol w:w="3906"/>
      </w:tblGrid>
      <w:tr>
        <w:trPr>
          <w:cantSplit/>
        </w:trPr>
        <w:tc>
          <w:tcPr>
            <w:tcW w:type="dxa" w:w="5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The problem</w:t>
            </w:r>
          </w:p>
          <w:p>
            <w:pPr>
              <w:spacing w:after="90" w:before="0" w:line="245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The UAE runs on people who were not born here. When one of them is arrested or detained, the first hour has a simple problem: no lawyer is coming, the consulate has not been told, and the family is waiting for a call.</w:t>
            </w:r>
          </w:p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The solution</w:t>
            </w:r>
          </w:p>
          <w:p>
            <w:pPr>
              <w:spacing w:after="90" w:before="0" w:line="245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ELA is a legal emergency membership for that first hour. A vetted UAE law firm is sent for, the consulate and family are told, and our response team runs the case from start to finish.</w:t>
            </w:r>
          </w:p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How it works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The member holds the emergency button for three seconds, on iPhone, Android or Apple Watch.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Once the hold commits, the response runs on our servers: a vetted UAE law firm takes the case, the consulate is told, and a trusted contact gets a private live link.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90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Our response team follows the member’s live location and stays in touch by chat and voice notes.</w:t>
            </w:r>
          </w:p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Where we are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Working product on TestFlight, running end to end on our production servers in test mode.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About 4-6 weeks of launch work left. The critical path is the messaging setup and the law-firm agreement.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0" w:before="0" w:line="240" w:lineRule="auto"/>
            </w:pP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Insurance add-on agreed in principle with </w:t>
            </w:r>
            <w:commentRangeStart w:id="1"/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a major broker and insurer</w:t>
            </w:r>
            <w:commentRangeEnd w:id="1"/>
            <w:r>
              <w:commentReference w:id="1"/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.</w:t>
            </w:r>
          </w:p>
        </w:tc>
        <w:tc>
          <w:tcPr>
            <w:tcW w:type="dxa" w:w="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39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53"/>
              <w:gridCol w:w="1953"/>
            </w:tblGrid>
            <w:tr>
              <w:trPr>
                <w:cantSplit/>
              </w:trPr>
              <w:tc>
                <w:tcPr>
                  <w:tcW w:type="dxa" w:w="19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50" w:line="240" w:lineRule="auto"/>
                    <w:jc w:val="center"/>
                  </w:pPr>
                  <w:r>
                    <w:drawing>
                      <wp:inline distT="0" distB="0" distL="0" distR="0">
                        <wp:extent cx="1181100" cy="2571750"/>
                        <wp:effectExtent t="0" r="0" b="0" l="0"/>
                        <wp:docPr id="2" name="Hold to arm" descr="Hold to arm" title="Hold to ar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2571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Instrument Sans" w:cs="Instrument Sans" w:eastAsia="Instrument Sans" w:hAnsi="Instrument Sans"/>
                      <w:color w:val="4A5E53"/>
                      <w:sz w:val="15"/>
                      <w:szCs w:val="15"/>
                    </w:rPr>
                    <w:t xml:space="preserve">Hold to arm</w:t>
                  </w:r>
                </w:p>
              </w:tc>
              <w:tc>
                <w:tcPr>
                  <w:tcW w:type="dxa" w:w="19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50" w:line="240" w:lineRule="auto"/>
                    <w:jc w:val="center"/>
                  </w:pPr>
                  <w:r>
                    <w:drawing>
                      <wp:inline distT="0" distB="0" distL="0" distR="0">
                        <wp:extent cx="1181100" cy="2571750"/>
                        <wp:effectExtent t="0" r="0" b="0" l="0"/>
                        <wp:docPr id="3" name="The response, live" descr="The response, live" title="The response, liv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2571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Instrument Sans" w:cs="Instrument Sans" w:eastAsia="Instrument Sans" w:hAnsi="Instrument Sans"/>
                      <w:color w:val="4A5E53"/>
                      <w:sz w:val="15"/>
                      <w:szCs w:val="15"/>
                    </w:rPr>
                    <w:t xml:space="preserve">The response, live</w:t>
                  </w:r>
                </w:p>
              </w:tc>
            </w:tr>
          </w:tbl>
          <w:p>
            <w:pPr>
              <w:spacing w:after="140" w:line="120" w:lineRule="auto"/>
            </w:pPr>
          </w:p>
          <w:tbl>
            <w:tblPr>
              <w:tblW w:type="dxa" w:w="39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06"/>
            </w:tblGrid>
            <w:tr>
              <w:trPr>
                <w:cantSplit/>
              </w:trPr>
              <w:tc>
                <w:tcPr>
                  <w:tcW w:type="dxa" w:w="3906"/>
                  <w:tcBorders>
                    <w:top w:val="none" w:color="FFFFFF" w:sz="0"/>
                    <w:left w:val="single" w:color="0E8F5C" w:sz="18"/>
                    <w:bottom w:val="none" w:color="FFFFFF" w:sz="0"/>
                    <w:right w:val="none" w:color="FFFFFF" w:sz="0"/>
                  </w:tcBorders>
                  <w:shd w:fill="F2F6F2" w:color="auto" w:val="clear"/>
                  <w:tcMar>
                    <w:top w:type="dxa" w:w="100"/>
                    <w:left w:type="dxa" w:w="150"/>
                    <w:bottom w:type="dxa" w:w="100"/>
                    <w:right w:type="dxa" w:w="120"/>
                  </w:tcMar>
                  <w:vAlign w:val="top"/>
                </w:tcPr>
                <w:p>
                  <w:pPr>
                    <w:spacing w:after="0" w:line="240" w:lineRule="auto"/>
                  </w:pPr>
                  <w:commentRangeStart w:id="2"/>
                  <w:r>
                    <w:rPr>
                      <w:rFonts w:ascii="Instrument Sans" w:cs="Instrument Sans" w:eastAsia="Instrument Sans" w:hAnsi="Instrument Sans"/>
                      <w:color w:val="13261D"/>
                      <w:sz w:val="16"/>
                      <w:szCs w:val="16"/>
                    </w:rPr>
                    <w:t xml:space="preserve">Our 1 October scan found no product in the UAE or the Gulf where one button sends for a lawyer, the consulate and family. Today people pay a firm per case.</w:t>
                  </w:r>
                  <w:commentRangeEnd w:id="2"/>
                  <w:r>
                    <w:commentReference w:id="2"/>
                  </w:r>
                </w:p>
              </w:tc>
            </w:tr>
          </w:tbl>
          <w:p/>
        </w:tc>
      </w:tr>
    </w:tbl>
    <w:p>
      <w:pPr>
        <w:spacing w:after="260" w:line="120" w:lineRule="auto"/>
      </w:pP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83"/>
        <w:gridCol w:w="300"/>
        <w:gridCol w:w="4783"/>
      </w:tblGrid>
      <w:tr>
        <w:trPr>
          <w:cantSplit/>
        </w:trPr>
        <w:tc>
          <w:tcPr>
            <w:tcW w:type="dxa" w:w="4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How ELA earns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Membership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through the App Store: AED 24.99 a week, 79.99 a month or 749.99 a year. Company seats by contract.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Insurance add-on: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legal fees up to AED 100,000 and bail up to AED 50,000 a claim, for AED 3,000 per adult a year. ELA earns 10% of the premium.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Legal referral: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</w:t>
            </w:r>
            <w:commentRangeStart w:id="3"/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10% of legal fees on cases ELA sends; from year three, a panel fee from firms.</w:t>
            </w:r>
            <w:commentRangeEnd w:id="3"/>
            <w:r>
              <w:commentReference w:id="3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4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Routes to market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Individuals,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through social media and legal content creators.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Employers and SMEs: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company-paid seats for resident staff.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45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Embassies and consulates: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every dispatch alerts the member’s consulate.</w:t>
            </w:r>
          </w:p>
          <w:p>
            <w:pPr>
              <w:pStyle w:val="ListParagraph"/>
              <w:keepLines/>
              <w:numPr>
                <w:ilvl w:val="0"/>
                <w:numId w:val="2"/>
              </w:numPr>
              <w:spacing w:after="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13261D"/>
                <w:sz w:val="18"/>
                <w:szCs w:val="18"/>
              </w:rPr>
              <w:t xml:space="preserve">Partners:</w:t>
            </w:r>
            <w:r>
              <w:rPr>
                <w:rFonts w:ascii="Instrument Sans" w:cs="Instrument Sans" w:eastAsia="Instrument Sans" w:hAnsi="Instrument Sans"/>
                <w:color w:val="13261D"/>
                <w:sz w:val="18"/>
                <w:szCs w:val="18"/>
              </w:rPr>
              <w:t xml:space="preserve"> wellbeing providers, insurers, banks and card issuers.</w:t>
            </w:r>
          </w:p>
        </w:tc>
      </w:tr>
    </w:tbl>
    <w:p>
      <w:pPr>
        <w:spacing w:after="300" w:line="120" w:lineRule="auto"/>
      </w:pP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220"/>
        <w:gridCol w:w="2413"/>
        <w:gridCol w:w="220"/>
        <w:gridCol w:w="2413"/>
      </w:tblGrid>
      <w:tr>
        <w:trPr>
          <w:cantSplit/>
        </w:trPr>
        <w:tc>
          <w:tcPr>
            <w:tcW w:type="dxa" w:w="4600"/>
            <w:tcBorders>
              <w:top w:val="single" w:color="0E8F5C" w:sz="18"/>
              <w:left w:val="none" w:color="FFFFFF" w:sz="0"/>
              <w:bottom w:val="none" w:color="FFFFFF" w:sz="0"/>
              <w:right w:val="none" w:color="FFFFFF" w:sz="0"/>
            </w:tcBorders>
            <w:shd w:fill="F2F6F2" w:color="auto" w:val="clear"/>
            <w:tcMar>
              <w:top w:type="dxa" w:w="120"/>
              <w:left w:type="dxa" w:w="160"/>
              <w:bottom w:type="dxa" w:w="120"/>
              <w:right w:type="dxa" w:w="140"/>
            </w:tcMar>
            <w:vAlign w:val="top"/>
          </w:tcPr>
          <w:p>
            <w:pPr>
              <w:keepNext/>
              <w:spacing w:after="50" w:before="0" w:line="240" w:lineRule="auto"/>
            </w:pPr>
            <w:r>
              <w:rPr>
                <w:rFonts w:ascii="Instrument Sans SemiBold" w:cs="Instrument Sans SemiBold" w:eastAsia="Instrument Sans SemiBold" w:hAnsi="Instrument Sans SemiBold"/>
                <w:color w:val="0B7549"/>
                <w:sz w:val="19"/>
                <w:szCs w:val="19"/>
              </w:rPr>
              <w:t xml:space="preserve">Year one, monthly model</w:t>
            </w:r>
          </w:p>
          <w:tbl>
            <w:tblPr>
              <w:tblW w:type="dxa" w:w="4300"/>
              <w:tblBorders>
                <w:top w:val="single" w:color="AFC1B5" w:sz="6"/>
                <w:left w:val="none" w:color="FFFFFF" w:sz="0"/>
                <w:bottom w:val="single" w:color="AFC1B5" w:sz="6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20"/>
              <w:gridCol w:w="960"/>
              <w:gridCol w:w="960"/>
              <w:gridCol w:w="960"/>
            </w:tblGrid>
            <w:tr>
              <w:trPr>
                <w:cantSplit/>
                <w:tblHeader/>
              </w:trPr>
              <w:tc>
                <w:tcPr>
                  <w:tcW w:type="dxa" w:w="1420"/>
                  <w:tcBorders>
                    <w:top w:val="none" w:color="FFFFFF" w:sz="0"/>
                    <w:left w:val="none" w:color="FFFFFF" w:sz="0"/>
                    <w:bottom w:val="single" w:color="AFC1B5" w:sz="6"/>
                    <w:right w:val="none" w:color="FFFFFF" w:sz="0"/>
                  </w:tcBorders>
                  <w:shd w:fill="DCEAE0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</w:pP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AFC1B5" w:sz="6"/>
                    <w:right w:val="none" w:color="FFFFFF" w:sz="0"/>
                  </w:tcBorders>
                  <w:shd w:fill="DCEAE0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 SemiBold" w:cs="Instrument Sans SemiBold" w:eastAsia="Instrument Sans SemiBold" w:hAnsi="Instrument Sans SemiBold"/>
                      <w:color w:val="4A5E53"/>
                      <w:sz w:val="15"/>
                      <w:szCs w:val="15"/>
                    </w:rPr>
                    <w:t xml:space="preserve">Cautious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AFC1B5" w:sz="6"/>
                    <w:right w:val="none" w:color="FFFFFF" w:sz="0"/>
                  </w:tcBorders>
                  <w:shd w:fill="DCEAE0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 SemiBold" w:cs="Instrument Sans SemiBold" w:eastAsia="Instrument Sans SemiBold" w:hAnsi="Instrument Sans SemiBold"/>
                      <w:color w:val="4A5E53"/>
                      <w:sz w:val="15"/>
                      <w:szCs w:val="15"/>
                    </w:rPr>
                    <w:t xml:space="preserve">Base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AFC1B5" w:sz="6"/>
                    <w:right w:val="none" w:color="FFFFFF" w:sz="0"/>
                  </w:tcBorders>
                  <w:shd w:fill="DCEAE0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 SemiBold" w:cs="Instrument Sans SemiBold" w:eastAsia="Instrument Sans SemiBold" w:hAnsi="Instrument Sans SemiBold"/>
                      <w:color w:val="4A5E53"/>
                      <w:sz w:val="15"/>
                      <w:szCs w:val="15"/>
                    </w:rPr>
                    <w:t xml:space="preserve">Upside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2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Members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2,756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10,969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33,031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2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shd w:fill="F2F6F2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</w:pPr>
                  <w:commentRangeStart w:id="4"/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Revenue</w:t>
                  </w:r>
                  <w:commentRangeEnd w:id="4"/>
                  <w:r>
                    <w:commentReference w:id="4"/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shd w:fill="F2F6F2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1.6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shd w:fill="F2F6F2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6.2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shd w:fill="F2F6F2" w:color="auto" w:val="clear"/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17.1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2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</w:pPr>
                  <w:commentRangeStart w:id="5"/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Result</w:t>
                  </w:r>
                  <w:commentRangeEnd w:id="5"/>
                  <w:r>
                    <w:commentReference w:id="5"/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(6.0)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(1.8)</w:t>
                  </w:r>
                </w:p>
              </w:tc>
              <w:tc>
                <w:tcPr>
                  <w:tcW w:type="dxa" w:w="960"/>
                  <w:tcBorders>
                    <w:top w:val="none" w:color="FFFFFF" w:sz="0"/>
                    <w:left w:val="none" w:color="FFFFFF" w:sz="0"/>
                    <w:bottom w:val="single" w:color="D3DDD6" w:sz="4"/>
                    <w:right w:val="none" w:color="FFFFFF" w:sz="0"/>
                  </w:tcBorders>
                  <w:tcMar>
                    <w:top w:type="dxa" w:w="55"/>
                    <w:left w:type="dxa" w:w="100"/>
                    <w:bottom w:type="dxa" w:w="55"/>
                    <w:right w:type="dxa" w:w="100"/>
                  </w:tcMar>
                  <w:vAlign w:val="top"/>
                </w:tcPr>
                <w:p>
                  <w:pPr>
                    <w:keepNext/>
                    <w:spacing w:after="0" w:before="0" w:line="235" w:lineRule="auto"/>
                    <w:jc w:val="right"/>
                  </w:pPr>
                  <w:r>
                    <w:rPr>
                      <w:rFonts w:ascii="Instrument Sans" w:cs="Instrument Sans" w:eastAsia="Instrument Sans" w:hAnsi="Instrument Sans"/>
                      <w:color w:val="13261D"/>
                      <w:sz w:val="17"/>
                      <w:szCs w:val="17"/>
                    </w:rPr>
                    <w:t xml:space="preserve">8.0</w:t>
                  </w:r>
                </w:p>
              </w:tc>
            </w:tr>
          </w:tbl>
          <w:p>
            <w:pPr>
              <w:spacing w:after="0" w:before="50" w:line="235" w:lineRule="auto"/>
            </w:pPr>
            <w:r>
              <w:rPr>
                <w:rFonts w:ascii="Instrument Sans" w:cs="Instrument Sans" w:eastAsia="Instrument Sans" w:hAnsi="Instrument Sans"/>
                <w:color w:val="4A5E53"/>
                <w:sz w:val="15"/>
                <w:szCs w:val="15"/>
              </w:rPr>
              <w:t xml:space="preserve">Members at year end. Revenue and result in AED millions. Our own assumptions, not a forecast.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413"/>
            <w:tcBorders>
              <w:top w:val="single" w:color="0E8F5C" w:sz="18"/>
              <w:left w:val="none" w:color="FFFFFF" w:sz="0"/>
              <w:bottom w:val="none" w:color="FFFFFF" w:sz="0"/>
              <w:right w:val="none" w:color="FFFFFF" w:sz="0"/>
            </w:tcBorders>
            <w:shd w:fill="F2F6F2" w:color="auto" w:val="clear"/>
            <w:tcMar>
              <w:top w:type="dxa" w:w="120"/>
              <w:left w:type="dxa" w:w="160"/>
              <w:bottom w:type="dxa" w:w="120"/>
              <w:right w:type="dxa" w:w="140"/>
            </w:tcMar>
            <w:vAlign w:val="top"/>
          </w:tcPr>
          <w:p>
            <w:pPr>
              <w:spacing w:after="30" w:line="240" w:lineRule="auto"/>
            </w:pPr>
            <w:r>
              <w:rPr>
                <w:rFonts w:ascii="Bricolage Grotesque SemiBold" w:cs="Bricolage Grotesque SemiBold" w:eastAsia="Bricolage Grotesque SemiBold" w:hAnsi="Bricolage Grotesque SemiBold"/>
                <w:color w:val="0B7549"/>
                <w:sz w:val="36"/>
                <w:szCs w:val="36"/>
              </w:rPr>
              <w:t xml:space="preserve">AED 7M</w:t>
            </w:r>
          </w:p>
          <w:p>
            <w:pPr>
              <w:spacing w:after="0" w:line="240" w:lineRule="auto"/>
            </w:pPr>
            <w:r>
              <w:rPr>
                <w:rFonts w:ascii="Instrument Sans" w:cs="Instrument Sans" w:eastAsia="Instrument Sans" w:hAnsi="Instrument Sans"/>
                <w:color w:val="4A5E53"/>
                <w:sz w:val="16"/>
                <w:szCs w:val="16"/>
              </w:rPr>
              <w:t xml:space="preserve">The raise, about USD 1.9M. Base case: profitable from month 9, and cash never falls below AED 5.2M. Cautious case: 14 months of runway.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2413"/>
            <w:tcBorders>
              <w:top w:val="single" w:color="0E8F5C" w:sz="18"/>
              <w:left w:val="none" w:color="FFFFFF" w:sz="0"/>
              <w:bottom w:val="none" w:color="FFFFFF" w:sz="0"/>
              <w:right w:val="none" w:color="FFFFFF" w:sz="0"/>
            </w:tcBorders>
            <w:shd w:fill="F2F6F2" w:color="auto" w:val="clear"/>
            <w:tcMar>
              <w:top w:type="dxa" w:w="120"/>
              <w:left w:type="dxa" w:w="160"/>
              <w:bottom w:type="dxa" w:w="120"/>
              <w:right w:type="dxa" w:w="140"/>
            </w:tcMar>
            <w:vAlign w:val="top"/>
          </w:tcPr>
          <w:p>
            <w:pPr>
              <w:spacing w:after="30" w:line="240" w:lineRule="auto"/>
            </w:pPr>
            <w:r>
              <w:rPr>
                <w:rFonts w:ascii="Bricolage Grotesque SemiBold" w:cs="Bricolage Grotesque SemiBold" w:eastAsia="Bricolage Grotesque SemiBold" w:hAnsi="Bricolage Grotesque SemiBold"/>
                <w:color w:val="0B7549"/>
                <w:sz w:val="36"/>
                <w:szCs w:val="36"/>
              </w:rPr>
              <w:t xml:space="preserve">AED 195k+</w:t>
            </w:r>
          </w:p>
          <w:p>
            <w:pPr>
              <w:spacing w:after="0" w:line="240" w:lineRule="auto"/>
            </w:pPr>
            <w:r>
              <w:rPr>
                <w:rFonts w:ascii="Instrument Sans" w:cs="Instrument Sans" w:eastAsia="Instrument Sans" w:hAnsi="Instrument Sans"/>
                <w:color w:val="4A5E53"/>
                <w:sz w:val="16"/>
                <w:szCs w:val="16"/>
              </w:rPr>
              <w:t xml:space="preserve">COO time and cash invested so far, as sweat equity. The CEO’s time is still to be added.</w:t>
            </w:r>
          </w:p>
        </w:tc>
      </w:tr>
    </w:tbl>
    <w:p>
      <w:pPr>
        <w:spacing w:after="320" w:line="120" w:lineRule="auto"/>
      </w:pPr>
    </w:p>
    <w:p>
      <w:pPr>
        <w:pBdr>
          <w:top w:val="single" w:color="D3DDD6" w:sz="4" w:space="8"/>
        </w:pBdr>
        <w:spacing w:after="40" w:line="245" w:lineRule="auto"/>
      </w:pPr>
      <w:r>
        <w:rPr>
          <w:rFonts w:ascii="Instrument Sans SemiBold" w:cs="Instrument Sans SemiBold" w:eastAsia="Instrument Sans SemiBold" w:hAnsi="Instrument Sans SemiBold"/>
          <w:color w:val="13261D"/>
          <w:sz w:val="18"/>
          <w:szCs w:val="18"/>
        </w:rPr>
        <w:t xml:space="preserve">Team</w:t>
      </w:r>
      <w:r>
        <w:rPr>
          <w:rFonts w:ascii="Instrument Sans" w:cs="Instrument Sans" w:eastAsia="Instrument Sans" w:hAnsi="Instrument Sans"/>
          <w:color w:val="13261D"/>
          <w:sz w:val="18"/>
          <w:szCs w:val="18"/>
        </w:rPr>
        <w:t xml:space="preserve">   Jonathan Simpson, CEO  ·  Stevan Litobac, COO  ·  Advisors: Shaz Khan, Andrew Trower  ·  TBC: Anna</w:t>
      </w:r>
    </w:p>
    <w:p>
      <w:pPr>
        <w:spacing w:after="0" w:line="245" w:lineRule="auto"/>
      </w:pPr>
      <w:r>
        <w:rPr>
          <w:rFonts w:ascii="Instrument Sans SemiBold" w:cs="Instrument Sans SemiBold" w:eastAsia="Instrument Sans SemiBold" w:hAnsi="Instrument Sans SemiBold"/>
          <w:color w:val="13261D"/>
          <w:sz w:val="18"/>
          <w:szCs w:val="18"/>
        </w:rPr>
        <w:t xml:space="preserve">Contact</w:t>
      </w:r>
      <w:r>
        <w:rPr>
          <w:rFonts w:ascii="Instrument Sans" w:cs="Instrument Sans" w:eastAsia="Instrument Sans" w:hAnsi="Instrument Sans"/>
          <w:color w:val="13261D"/>
          <w:sz w:val="18"/>
          <w:szCs w:val="18"/>
        </w:rPr>
        <w:t xml:space="preserve">   </w:t>
      </w:r>
      <w:commentRangeStart w:id="6"/>
      <w:r>
        <w:rPr>
          <w:rFonts w:ascii="Instrument Sans" w:cs="Instrument Sans" w:eastAsia="Instrument Sans" w:hAnsi="Instrument Sans"/>
          <w:color w:val="13261D"/>
          <w:sz w:val="18"/>
          <w:szCs w:val="18"/>
        </w:rPr>
        <w:t xml:space="preserve">ela.now</w:t>
      </w:r>
      <w:commentRangeEnd w:id="6"/>
      <w:r>
        <w:commentReference w:id="6"/>
      </w:r>
    </w:p>
    <w:sectPr>
      <w:footerReference w:type="default" r:id="rId7"/>
      <w:pgSz w:w="11906" w:h="16838" w:orient="portrait"/>
      <w:pgMar w:top="850" w:right="1020" w:bottom="800" w:left="1020" w:header="425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DN" w:author="Draft note" w:date="2026-10-07T12:00:00.000Z">
    <w:p>
      <w:r>
        <w:rPr>
          <w:sz w:val="18"/>
          <w:szCs w:val="18"/>
        </w:rPr>
        <w:t xml:space="preserve">Rebuilt from the plan draft of 7 October. Its numbers come from the monthly model of the same date (ELA-financial-model-2026-10-07.xlsx), so they change with it.</w:t>
      </w:r>
    </w:p>
  </w:comment>
  <w:comment w:id="1" w:initials="DN" w:author="Draft note" w:date="2026-10-07T12:00:00.000Z">
    <w:p>
      <w:r>
        <w:rPr>
          <w:sz w:val="18"/>
          <w:szCs w:val="18"/>
        </w:rPr>
        <w:t xml:space="preserve">The plan names Howden and AIG. They are left unnamed here until they commit; name them if Jon is happy to.</w:t>
      </w:r>
    </w:p>
  </w:comment>
  <w:comment w:id="2" w:initials="DN" w:author="Draft note" w:date="2026-10-07T12:00:00.000Z">
    <w:p>
      <w:r>
        <w:rPr>
          <w:sz w:val="18"/>
          <w:szCs w:val="18"/>
        </w:rPr>
        <w:t xml:space="preserve">From the competitor scan of 1 October 2026, with its claims checked at source; see the plan, section 8. Limits: English-language searches; Arabic searches for Saudi Arabia and Kuwait were not run.</w:t>
      </w:r>
    </w:p>
  </w:comment>
  <w:comment w:id="3" w:initials="DN" w:author="Draft note" w:date="2026-10-07T12:00:00.000Z">
    <w:p>
      <w:r>
        <w:rPr>
          <w:sz w:val="18"/>
          <w:szCs w:val="18"/>
        </w:rPr>
        <w:t xml:space="preserve">Counted in the projections until Jon confirms otherwise: a per-case commission from the firm may breach Federal Decree-Law 34 of 2022, Art. 101 (see the plan, section 8). Remove it, or reword it to the agreed structure, before the teaser goes out.</w:t>
      </w:r>
    </w:p>
  </w:comment>
  <w:comment w:id="4" w:initials="DN" w:author="Draft note" w:date="2026-10-07T12:00:00.000Z">
    <w:p>
      <w:r>
        <w:rPr>
          <w:sz w:val="18"/>
          <w:szCs w:val="18"/>
        </w:rPr>
        <w:t xml:space="preserve">Net revenue after VAT, Apple’s commission and refunds: membership, company seats, insurance commission and legal referral. Plan, section 5.</w:t>
      </w:r>
    </w:p>
  </w:comment>
  <w:comment w:id="5" w:initials="DN" w:author="Draft note" w:date="2026-10-07T12:00:00.000Z">
    <w:p>
      <w:r>
        <w:rPr>
          <w:sz w:val="18"/>
          <w:szCs w:val="18"/>
        </w:rPr>
        <w:t xml:space="preserve">After performance marketing, App Store fees, member costs, the 24/7 desk, the delivery team, administration and a 15% contingency.</w:t>
      </w:r>
    </w:p>
  </w:comment>
  <w:comment w:id="6" w:initials="OI" w:author="Open item" w:date="2026-10-07T12:00:00.000Z">
    <w:p>
      <w:r>
        <w:rPr>
          <w:sz w:val="18"/>
          <w:szCs w:val="18"/>
        </w:rPr>
        <w:t xml:space="preserve">Whose contact details go on the teaser: name, email and phone?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strument Sans">
    <w:family w:val="auto"/>
    <w:pitch w:val="variable"/>
    <w:sig w:usb0="E0002AFF" w:usb1="C000247B" w:usb2="00000009" w:usb3="00000000" w:csb0="000001FF" w:csb1="00000000"/>
    <w:embedRegular r:id="rId1" w:fontKey="{13D0D7AB-998B-A7DC-7251-F571D0B2F345}"/>
  </w:font>
  <w:font w:name="Instrument Sans SemiBold">
    <w:family w:val="auto"/>
    <w:pitch w:val="variable"/>
    <w:sig w:usb0="E0002AFF" w:usb1="C000247B" w:usb2="00000009" w:usb3="00000000" w:csb0="000001FF" w:csb1="00000000"/>
    <w:embedRegular r:id="rId2" w:fontKey="{F26A650D-C3C6-D278-BC3C-097D20741204}"/>
  </w:font>
  <w:font w:name="Bricolage Grotesque SemiBold">
    <w:family w:val="auto"/>
    <w:pitch w:val="variable"/>
    <w:sig w:usb0="E0002AFF" w:usb1="C000247B" w:usb2="00000009" w:usb3="00000000" w:csb0="000001FF" w:csb1="00000000"/>
    <w:embedRegular r:id="rId3" w:fontKey="{3AD597FF-522D-D8FC-E12C-EEF3D50D050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ELAFooter"/>
      <w:spacing w:after="0"/>
    </w:pPr>
    <w:r>
      <w:rPr>
        <w:color w:val="627469"/>
        <w:sz w:val="14"/>
        <w:szCs w:val="14"/>
      </w:rPr>
      <w:t xml:space="preserve">ELA investor teaser  ·  Draft, 7 October 2026  ·  Confidential: not for onward distribution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60" w:hanging="200"/>
      </w:pPr>
      <w:rPr>
        <w:rFonts w:ascii="Instrument Sans" w:cs="Instrument Sans" w:eastAsia="Instrument Sans" w:hAnsi="Instrument Sans"/>
        <w:color w:val="0E8F5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strument Sans" w:cs="Instrument Sans" w:eastAsia="Instrument Sans" w:hAnsi="Instrument Sans"/>
        <w:color w:val="13261D"/>
        <w:sz w:val="18"/>
        <w:szCs w:val="18"/>
        <w:lang w:val="en-GB"/>
      </w:rPr>
    </w:rPrDefault>
    <w:pPrDefault>
      <w:pPr>
        <w:spacing w:after="80" w:line="245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ELAFooter">
    <w:name w:val="ELA Footer"/>
    <w:basedOn w:val="Normal"/>
    <w:rPr>
      <w:color w:val="627469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f64c1ffb9080891621a92d14937081f814d86878.png"/><Relationship Id="rId10" Type="http://schemas.openxmlformats.org/officeDocument/2006/relationships/image" Target="media/2065f8dbb8c19a796aad970d83dc592d8cc87e57.png"/><Relationship Id="rId11" Type="http://schemas.openxmlformats.org/officeDocument/2006/relationships/image" Target="media/83cdc34730e3d2067b452b1ae08d03e15079dbf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ELA investor teaser</dc:title>
  <dc:subject>Draft, 7 October 2026</dc:subject>
  <dc:creator>ELA</dc:creator>
  <cp:lastModifiedBy>ELA</cp:lastModifiedBy>
  <cp:revision>1</cp:revision>
  <dcterms:created xsi:type="dcterms:W3CDTF">2026-10-07T13:06:27.264Z</dcterms:created>
  <dcterms:modified xsi:type="dcterms:W3CDTF">2026-10-07T13:06:27.264Z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